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78B1E" w14:textId="00B2FD6B" w:rsidR="00A052B1" w:rsidRDefault="00E93B50">
      <w:r>
        <w:t xml:space="preserve">Fiche de lecture </w:t>
      </w:r>
      <w:r w:rsidR="00A052B1">
        <w:t>– Administration européenne, 2023</w:t>
      </w:r>
      <w:r w:rsidR="00A052B1">
        <w:tab/>
      </w:r>
      <w:r w:rsidR="00A052B1">
        <w:tab/>
      </w:r>
      <w:r w:rsidR="00A052B1">
        <w:tab/>
      </w:r>
      <w:r w:rsidR="00A052B1">
        <w:tab/>
        <w:t xml:space="preserve">Alice Le Coustumer </w:t>
      </w:r>
    </w:p>
    <w:p w14:paraId="7BDEB2F1" w14:textId="2DF4972E" w:rsidR="00E60807" w:rsidRDefault="00E60807" w:rsidP="00B30D97">
      <w:pPr>
        <w:pStyle w:val="Heading2"/>
        <w:rPr>
          <w:lang w:val="en-GB"/>
        </w:rPr>
      </w:pPr>
      <w:r w:rsidRPr="00E60807">
        <w:rPr>
          <w:lang w:val="en-GB"/>
        </w:rPr>
        <w:t>Chapitre 27 : Holding Executive Power to Account: The EU Administration’s Accountability Challenge(s)</w:t>
      </w:r>
      <w:r>
        <w:rPr>
          <w:lang w:val="en-GB"/>
        </w:rPr>
        <w:t xml:space="preserve"> – A.Wille </w:t>
      </w:r>
    </w:p>
    <w:p w14:paraId="630B585E" w14:textId="77777777" w:rsidR="005A0CAA" w:rsidRPr="00C77401" w:rsidRDefault="005A0CAA">
      <w:pPr>
        <w:rPr>
          <w:i/>
          <w:iCs/>
          <w:sz w:val="18"/>
          <w:szCs w:val="18"/>
          <w:u w:val="single"/>
          <w:lang w:val="en-GB"/>
        </w:rPr>
      </w:pPr>
    </w:p>
    <w:p w14:paraId="06166C5F" w14:textId="48684427" w:rsidR="00A052B1" w:rsidRPr="00BF7E99" w:rsidRDefault="00A052B1">
      <w:pPr>
        <w:rPr>
          <w:i/>
          <w:iCs/>
          <w:sz w:val="18"/>
          <w:szCs w:val="18"/>
        </w:rPr>
      </w:pPr>
      <w:r w:rsidRPr="00BF7E99">
        <w:rPr>
          <w:i/>
          <w:iCs/>
          <w:sz w:val="18"/>
          <w:szCs w:val="18"/>
          <w:u w:val="single"/>
        </w:rPr>
        <w:t xml:space="preserve">NB: </w:t>
      </w:r>
      <w:r w:rsidRPr="00BF7E99">
        <w:rPr>
          <w:i/>
          <w:iCs/>
          <w:sz w:val="18"/>
          <w:szCs w:val="18"/>
        </w:rPr>
        <w:t xml:space="preserve"> Dans cette fiche de synthèse, je ne traduis pas le concept d</w:t>
      </w:r>
      <w:r w:rsidRPr="00BF7E99">
        <w:rPr>
          <w:b/>
          <w:bCs/>
          <w:i/>
          <w:iCs/>
          <w:sz w:val="18"/>
          <w:szCs w:val="18"/>
        </w:rPr>
        <w:t xml:space="preserve">’accountability </w:t>
      </w:r>
      <w:r w:rsidRPr="00BF7E99">
        <w:rPr>
          <w:i/>
          <w:iCs/>
          <w:sz w:val="18"/>
          <w:szCs w:val="18"/>
        </w:rPr>
        <w:t xml:space="preserve">car il n’y a pas de concept </w:t>
      </w:r>
      <w:r w:rsidR="00CB4700" w:rsidRPr="00BF7E99">
        <w:rPr>
          <w:i/>
          <w:iCs/>
          <w:sz w:val="18"/>
          <w:szCs w:val="18"/>
        </w:rPr>
        <w:t xml:space="preserve">ou traduction </w:t>
      </w:r>
      <w:r w:rsidRPr="00BF7E99">
        <w:rPr>
          <w:i/>
          <w:iCs/>
          <w:sz w:val="18"/>
          <w:szCs w:val="18"/>
        </w:rPr>
        <w:t>équivalent</w:t>
      </w:r>
      <w:r w:rsidR="00CB4700" w:rsidRPr="00BF7E99">
        <w:rPr>
          <w:i/>
          <w:iCs/>
          <w:sz w:val="18"/>
          <w:szCs w:val="18"/>
        </w:rPr>
        <w:t>e</w:t>
      </w:r>
      <w:r w:rsidRPr="00BF7E99">
        <w:rPr>
          <w:i/>
          <w:iCs/>
          <w:sz w:val="18"/>
          <w:szCs w:val="18"/>
        </w:rPr>
        <w:t xml:space="preserve"> en français</w:t>
      </w:r>
      <w:r w:rsidR="0095620D" w:rsidRPr="00BF7E99">
        <w:rPr>
          <w:i/>
          <w:iCs/>
          <w:sz w:val="18"/>
          <w:szCs w:val="18"/>
        </w:rPr>
        <w:t xml:space="preserve"> qui englobe à la fois </w:t>
      </w:r>
      <w:r w:rsidR="00CB4700" w:rsidRPr="00BF7E99">
        <w:rPr>
          <w:i/>
          <w:iCs/>
          <w:sz w:val="18"/>
          <w:szCs w:val="18"/>
        </w:rPr>
        <w:t xml:space="preserve">l’idée de </w:t>
      </w:r>
      <w:r w:rsidR="0095620D" w:rsidRPr="00BF7E99">
        <w:rPr>
          <w:i/>
          <w:iCs/>
          <w:sz w:val="18"/>
          <w:szCs w:val="18"/>
        </w:rPr>
        <w:t>responsabilité et</w:t>
      </w:r>
      <w:r w:rsidR="005C6433">
        <w:rPr>
          <w:i/>
          <w:iCs/>
          <w:sz w:val="18"/>
          <w:szCs w:val="18"/>
        </w:rPr>
        <w:t xml:space="preserve"> de reddition de comptes</w:t>
      </w:r>
      <w:r w:rsidR="00D17349" w:rsidRPr="00BF7E99">
        <w:rPr>
          <w:i/>
          <w:iCs/>
          <w:sz w:val="18"/>
          <w:szCs w:val="18"/>
        </w:rPr>
        <w:t xml:space="preserve">, </w:t>
      </w:r>
      <w:r w:rsidR="0095620D" w:rsidRPr="00BF7E99">
        <w:rPr>
          <w:i/>
          <w:iCs/>
          <w:sz w:val="18"/>
          <w:szCs w:val="18"/>
        </w:rPr>
        <w:t xml:space="preserve"> sous-tendu par le concept en anglais. </w:t>
      </w:r>
    </w:p>
    <w:p w14:paraId="5083F7E9" w14:textId="4934E19D" w:rsidR="003A6DCC" w:rsidRPr="00AF1AF2" w:rsidRDefault="00B30D97" w:rsidP="00166C99">
      <w:pPr>
        <w:pStyle w:val="Heading1"/>
        <w:jc w:val="both"/>
        <w:rPr>
          <w:sz w:val="24"/>
          <w:szCs w:val="24"/>
          <w:u w:val="single"/>
        </w:rPr>
      </w:pPr>
      <w:r w:rsidRPr="00A052B1">
        <w:rPr>
          <w:sz w:val="24"/>
          <w:szCs w:val="24"/>
          <w:u w:val="single"/>
        </w:rPr>
        <w:t>Sur l’aut</w:t>
      </w:r>
      <w:r w:rsidR="00BE4EA4" w:rsidRPr="00A052B1">
        <w:rPr>
          <w:sz w:val="24"/>
          <w:szCs w:val="24"/>
          <w:u w:val="single"/>
        </w:rPr>
        <w:t>eur</w:t>
      </w:r>
      <w:r w:rsidR="000F48BF">
        <w:rPr>
          <w:sz w:val="24"/>
          <w:szCs w:val="24"/>
          <w:u w:val="single"/>
        </w:rPr>
        <w:t>e</w:t>
      </w:r>
    </w:p>
    <w:p w14:paraId="76797D8C" w14:textId="46C56ECC" w:rsidR="00957BD7" w:rsidRPr="00166C99" w:rsidRDefault="0046606E" w:rsidP="00166C99">
      <w:pPr>
        <w:jc w:val="both"/>
        <w:rPr>
          <w:rFonts w:ascii="Calibri" w:hAnsi="Calibri" w:cs="Calibri"/>
          <w:color w:val="595959"/>
        </w:rPr>
      </w:pPr>
      <w:r w:rsidRPr="003634B8">
        <w:rPr>
          <w:noProof/>
        </w:rPr>
        <w:drawing>
          <wp:anchor distT="0" distB="0" distL="114300" distR="114300" simplePos="0" relativeHeight="251658240" behindDoc="0" locked="0" layoutInCell="1" allowOverlap="1" wp14:anchorId="682C930A" wp14:editId="0217B16C">
            <wp:simplePos x="0" y="0"/>
            <wp:positionH relativeFrom="margin">
              <wp:align>left</wp:align>
            </wp:positionH>
            <wp:positionV relativeFrom="paragraph">
              <wp:posOffset>57150</wp:posOffset>
            </wp:positionV>
            <wp:extent cx="771525" cy="919480"/>
            <wp:effectExtent l="0" t="0" r="9525" b="0"/>
            <wp:wrapThrough wrapText="bothSides">
              <wp:wrapPolygon edited="0">
                <wp:start x="0" y="0"/>
                <wp:lineTo x="0" y="21033"/>
                <wp:lineTo x="21333" y="21033"/>
                <wp:lineTo x="21333" y="0"/>
                <wp:lineTo x="0" y="0"/>
              </wp:wrapPolygon>
            </wp:wrapThrough>
            <wp:docPr id="18920840" name="Picture 1" descr="Résultat d’images pour anchrit wil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’images pour anchrit will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1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E4EA4" w:rsidRPr="003634B8">
        <w:rPr>
          <w:rStyle w:val="HTMLCite"/>
          <w:rFonts w:ascii="Calibri" w:hAnsi="Calibri" w:cs="Calibri"/>
          <w:i w:val="0"/>
          <w:iCs w:val="0"/>
          <w:color w:val="595959"/>
        </w:rPr>
        <w:t>Anc</w:t>
      </w:r>
      <w:r w:rsidR="00BE4EA4" w:rsidRPr="00166C99">
        <w:rPr>
          <w:rStyle w:val="HTMLCite"/>
          <w:rFonts w:ascii="Calibri" w:hAnsi="Calibri" w:cs="Calibri"/>
          <w:i w:val="0"/>
          <w:iCs w:val="0"/>
          <w:color w:val="595959"/>
        </w:rPr>
        <w:t>hrit Wille est professeure associée en administration publique à l'Université de Leiden, dans la faculté de Gouvernance et Affaires Internationales</w:t>
      </w:r>
      <w:r w:rsidRPr="00166C99">
        <w:rPr>
          <w:rStyle w:val="HTMLCite"/>
          <w:rFonts w:ascii="Calibri" w:hAnsi="Calibri" w:cs="Calibri"/>
          <w:i w:val="0"/>
          <w:iCs w:val="0"/>
          <w:color w:val="595959"/>
        </w:rPr>
        <w:t>.</w:t>
      </w:r>
      <w:r w:rsidR="00414BF9" w:rsidRPr="00166C99">
        <w:rPr>
          <w:rStyle w:val="HTMLCite"/>
          <w:rFonts w:ascii="Calibri" w:hAnsi="Calibri" w:cs="Calibri"/>
          <w:i w:val="0"/>
          <w:iCs w:val="0"/>
          <w:color w:val="595959"/>
        </w:rPr>
        <w:t xml:space="preserve"> </w:t>
      </w:r>
      <w:r w:rsidR="00414BF9" w:rsidRPr="00166C99">
        <w:rPr>
          <w:rFonts w:ascii="Calibri" w:hAnsi="Calibri" w:cs="Calibri"/>
          <w:color w:val="595959"/>
        </w:rPr>
        <w:t xml:space="preserve">Elle tient la chaire sur les Transitions dans le secteur public. </w:t>
      </w:r>
      <w:r w:rsidR="00957BD7" w:rsidRPr="00166C99">
        <w:rPr>
          <w:rFonts w:ascii="Calibri" w:hAnsi="Calibri" w:cs="Calibri"/>
          <w:color w:val="595959"/>
        </w:rPr>
        <w:t xml:space="preserve">Sa position académique se situe à la croisée de la science administrative et de la science politique. </w:t>
      </w:r>
    </w:p>
    <w:p w14:paraId="6E392A6B" w14:textId="3D650DE1" w:rsidR="00957BD7" w:rsidRPr="00166C99" w:rsidRDefault="00957BD7" w:rsidP="00166C99">
      <w:pPr>
        <w:pStyle w:val="NormalWeb"/>
        <w:jc w:val="both"/>
        <w:rPr>
          <w:rFonts w:ascii="Calibri" w:hAnsi="Calibri" w:cs="Calibri"/>
          <w:color w:val="595959"/>
          <w:sz w:val="22"/>
          <w:szCs w:val="22"/>
        </w:rPr>
      </w:pPr>
      <w:r w:rsidRPr="00166C99">
        <w:rPr>
          <w:rFonts w:ascii="Calibri" w:hAnsi="Calibri" w:cs="Calibri"/>
          <w:color w:val="595959"/>
          <w:sz w:val="22"/>
          <w:szCs w:val="22"/>
        </w:rPr>
        <w:t xml:space="preserve"> Sa page académique identifie trois lignes de recherche. Sa première ligne de recherche se focalise sur la démocratie du diplôme, la méritocratie et l'éducation comme lignes de divisions sociales et politiques. </w:t>
      </w:r>
      <w:r w:rsidR="008F29C1" w:rsidRPr="00166C99">
        <w:rPr>
          <w:rFonts w:ascii="Calibri" w:hAnsi="Calibri" w:cs="Calibri"/>
          <w:color w:val="595959"/>
          <w:sz w:val="22"/>
          <w:szCs w:val="22"/>
        </w:rPr>
        <w:t xml:space="preserve"> Sa deuxième ligne de recherche se focalise sur les relations politico-bureaucratiques dans la gouvernance nationale et européenne. </w:t>
      </w:r>
      <w:r w:rsidR="005973F5" w:rsidRPr="00166C99">
        <w:rPr>
          <w:rFonts w:ascii="Calibri" w:hAnsi="Calibri" w:cs="Calibri"/>
          <w:color w:val="595959"/>
          <w:sz w:val="22"/>
          <w:szCs w:val="22"/>
        </w:rPr>
        <w:t xml:space="preserve">Sa </w:t>
      </w:r>
      <w:r w:rsidRPr="00166C99">
        <w:rPr>
          <w:rFonts w:ascii="Calibri" w:hAnsi="Calibri" w:cs="Calibri"/>
          <w:color w:val="595959"/>
          <w:sz w:val="22"/>
          <w:szCs w:val="22"/>
        </w:rPr>
        <w:t xml:space="preserve">troisième ligne de recherche porte </w:t>
      </w:r>
      <w:r w:rsidR="00FC31FD" w:rsidRPr="00166C99">
        <w:rPr>
          <w:rFonts w:ascii="Calibri" w:hAnsi="Calibri" w:cs="Calibri"/>
          <w:color w:val="595959"/>
          <w:sz w:val="22"/>
          <w:szCs w:val="22"/>
        </w:rPr>
        <w:t>sur l’accountability</w:t>
      </w:r>
      <w:r w:rsidR="00973012" w:rsidRPr="00166C99">
        <w:rPr>
          <w:rFonts w:ascii="Calibri" w:hAnsi="Calibri" w:cs="Calibri"/>
          <w:color w:val="595959"/>
          <w:sz w:val="22"/>
          <w:szCs w:val="22"/>
        </w:rPr>
        <w:t xml:space="preserve"> </w:t>
      </w:r>
      <w:r w:rsidRPr="00166C99">
        <w:rPr>
          <w:rFonts w:ascii="Calibri" w:hAnsi="Calibri" w:cs="Calibri"/>
          <w:color w:val="595959"/>
          <w:sz w:val="22"/>
          <w:szCs w:val="22"/>
        </w:rPr>
        <w:t>publique et le rôle croissant des experts et évaluations de politiques, en particulier le paysage changeant de l'accountability et le rôle des</w:t>
      </w:r>
      <w:r w:rsidR="00DB7CAA" w:rsidRPr="00166C99">
        <w:rPr>
          <w:rFonts w:ascii="Calibri" w:hAnsi="Calibri" w:cs="Calibri"/>
          <w:color w:val="595959"/>
          <w:sz w:val="22"/>
          <w:szCs w:val="22"/>
        </w:rPr>
        <w:t xml:space="preserve"> </w:t>
      </w:r>
      <w:r w:rsidR="009E509D" w:rsidRPr="00166C99">
        <w:rPr>
          <w:rFonts w:ascii="Calibri" w:hAnsi="Calibri" w:cs="Calibri"/>
          <w:color w:val="595959"/>
          <w:sz w:val="22"/>
          <w:szCs w:val="22"/>
        </w:rPr>
        <w:t>‘</w:t>
      </w:r>
      <w:r w:rsidR="00DB7CAA" w:rsidRPr="00166C99">
        <w:rPr>
          <w:rFonts w:ascii="Calibri" w:hAnsi="Calibri" w:cs="Calibri"/>
          <w:color w:val="595959"/>
          <w:sz w:val="22"/>
          <w:szCs w:val="22"/>
        </w:rPr>
        <w:t>watch dogs</w:t>
      </w:r>
      <w:r w:rsidR="009E509D" w:rsidRPr="00166C99">
        <w:rPr>
          <w:rFonts w:ascii="Calibri" w:hAnsi="Calibri" w:cs="Calibri"/>
          <w:color w:val="595959"/>
          <w:sz w:val="22"/>
          <w:szCs w:val="22"/>
        </w:rPr>
        <w:t>’ modernes</w:t>
      </w:r>
      <w:r w:rsidR="00DB7CAA" w:rsidRPr="00166C99">
        <w:rPr>
          <w:rFonts w:ascii="Calibri" w:hAnsi="Calibri" w:cs="Calibri"/>
          <w:color w:val="595959"/>
          <w:sz w:val="22"/>
          <w:szCs w:val="22"/>
        </w:rPr>
        <w:t xml:space="preserve"> </w:t>
      </w:r>
      <w:r w:rsidR="009E509D" w:rsidRPr="00166C99">
        <w:rPr>
          <w:rFonts w:ascii="Calibri" w:hAnsi="Calibri" w:cs="Calibri"/>
          <w:color w:val="595959"/>
          <w:sz w:val="22"/>
          <w:szCs w:val="22"/>
        </w:rPr>
        <w:t>(</w:t>
      </w:r>
      <w:r w:rsidR="008F29C1" w:rsidRPr="00166C99">
        <w:rPr>
          <w:rFonts w:ascii="Calibri" w:hAnsi="Calibri" w:cs="Calibri"/>
          <w:color w:val="595959"/>
          <w:sz w:val="22"/>
          <w:szCs w:val="22"/>
        </w:rPr>
        <w:t xml:space="preserve">en FR : </w:t>
      </w:r>
      <w:r w:rsidRPr="00166C99">
        <w:rPr>
          <w:rFonts w:ascii="Calibri" w:hAnsi="Calibri" w:cs="Calibri"/>
          <w:color w:val="595959"/>
          <w:sz w:val="22"/>
          <w:szCs w:val="22"/>
        </w:rPr>
        <w:t>chiens de garde) tel</w:t>
      </w:r>
      <w:r w:rsidR="00973012" w:rsidRPr="00166C99">
        <w:rPr>
          <w:rFonts w:ascii="Calibri" w:hAnsi="Calibri" w:cs="Calibri"/>
          <w:color w:val="595959"/>
          <w:sz w:val="22"/>
          <w:szCs w:val="22"/>
        </w:rPr>
        <w:t>s</w:t>
      </w:r>
      <w:r w:rsidRPr="00166C99">
        <w:rPr>
          <w:rFonts w:ascii="Calibri" w:hAnsi="Calibri" w:cs="Calibri"/>
          <w:color w:val="595959"/>
          <w:sz w:val="22"/>
          <w:szCs w:val="22"/>
        </w:rPr>
        <w:t xml:space="preserve"> que le Ombudsman et des bureaux d'audit. </w:t>
      </w:r>
    </w:p>
    <w:p w14:paraId="547A9BD4" w14:textId="273D8468" w:rsidR="00957BD7" w:rsidRPr="00166C99" w:rsidRDefault="005973F5" w:rsidP="00166C99">
      <w:pPr>
        <w:pStyle w:val="NormalWeb"/>
        <w:jc w:val="both"/>
        <w:rPr>
          <w:rFonts w:ascii="Calibri" w:hAnsi="Calibri" w:cs="Calibri"/>
          <w:color w:val="595959"/>
          <w:sz w:val="22"/>
          <w:szCs w:val="22"/>
        </w:rPr>
      </w:pPr>
      <w:r w:rsidRPr="00166C99">
        <w:rPr>
          <w:rFonts w:ascii="Calibri" w:hAnsi="Calibri" w:cs="Calibri"/>
          <w:color w:val="595959"/>
          <w:sz w:val="22"/>
          <w:szCs w:val="22"/>
        </w:rPr>
        <w:t xml:space="preserve">L’article présenté </w:t>
      </w:r>
      <w:r w:rsidR="000F48BF" w:rsidRPr="00166C99">
        <w:rPr>
          <w:rFonts w:ascii="Calibri" w:hAnsi="Calibri" w:cs="Calibri"/>
          <w:color w:val="595959"/>
          <w:sz w:val="22"/>
          <w:szCs w:val="22"/>
        </w:rPr>
        <w:t xml:space="preserve">dans cette synthèse </w:t>
      </w:r>
      <w:r w:rsidRPr="00166C99">
        <w:rPr>
          <w:rFonts w:ascii="Calibri" w:hAnsi="Calibri" w:cs="Calibri"/>
          <w:color w:val="595959"/>
          <w:sz w:val="22"/>
          <w:szCs w:val="22"/>
        </w:rPr>
        <w:t>s’inscrit dans sa deuxième et</w:t>
      </w:r>
      <w:r w:rsidR="00A052B1" w:rsidRPr="00166C99">
        <w:rPr>
          <w:rFonts w:ascii="Calibri" w:hAnsi="Calibri" w:cs="Calibri"/>
          <w:color w:val="595959"/>
          <w:sz w:val="22"/>
          <w:szCs w:val="22"/>
        </w:rPr>
        <w:t xml:space="preserve"> plus particulièrement sa</w:t>
      </w:r>
      <w:r w:rsidRPr="00166C99">
        <w:rPr>
          <w:rFonts w:ascii="Calibri" w:hAnsi="Calibri" w:cs="Calibri"/>
          <w:color w:val="595959"/>
          <w:sz w:val="22"/>
          <w:szCs w:val="22"/>
        </w:rPr>
        <w:t xml:space="preserve"> troisième ligne de recherche</w:t>
      </w:r>
      <w:r w:rsidR="00A052B1" w:rsidRPr="00166C99">
        <w:rPr>
          <w:rFonts w:ascii="Calibri" w:hAnsi="Calibri" w:cs="Calibri"/>
          <w:color w:val="595959"/>
          <w:sz w:val="22"/>
          <w:szCs w:val="22"/>
        </w:rPr>
        <w:t>.</w:t>
      </w:r>
      <w:r w:rsidR="00957BD7" w:rsidRPr="00166C99">
        <w:rPr>
          <w:rFonts w:ascii="Calibri" w:hAnsi="Calibri" w:cs="Calibri"/>
          <w:color w:val="595959"/>
          <w:sz w:val="22"/>
          <w:szCs w:val="22"/>
        </w:rPr>
        <w:t> </w:t>
      </w:r>
      <w:r w:rsidR="001F7603" w:rsidRPr="00166C99">
        <w:rPr>
          <w:rFonts w:ascii="Calibri" w:hAnsi="Calibri" w:cs="Calibri"/>
          <w:color w:val="595959"/>
          <w:sz w:val="22"/>
          <w:szCs w:val="22"/>
        </w:rPr>
        <w:t xml:space="preserve"> </w:t>
      </w:r>
      <w:r w:rsidR="00957BD7" w:rsidRPr="00166C99">
        <w:rPr>
          <w:rFonts w:ascii="Calibri" w:hAnsi="Calibri" w:cs="Calibri"/>
          <w:color w:val="595959"/>
          <w:sz w:val="22"/>
          <w:szCs w:val="22"/>
        </w:rPr>
        <w:t xml:space="preserve">Wille a déjà travaillé sur des questions similaires à celle de la notion d'accountability, qui s'insèrent également dans des questions plus larges sur la légitimité démocratique dans la gouvernance </w:t>
      </w:r>
      <w:r w:rsidR="00A052B1" w:rsidRPr="00166C99">
        <w:rPr>
          <w:rFonts w:ascii="Calibri" w:hAnsi="Calibri" w:cs="Calibri"/>
          <w:color w:val="595959"/>
          <w:sz w:val="22"/>
          <w:szCs w:val="22"/>
        </w:rPr>
        <w:t xml:space="preserve">européenne, </w:t>
      </w:r>
      <w:r w:rsidR="004038E9" w:rsidRPr="00166C99">
        <w:rPr>
          <w:rFonts w:ascii="Calibri" w:hAnsi="Calibri" w:cs="Calibri"/>
          <w:color w:val="595959"/>
          <w:sz w:val="22"/>
          <w:szCs w:val="22"/>
        </w:rPr>
        <w:t>comme</w:t>
      </w:r>
      <w:r w:rsidR="00957BD7" w:rsidRPr="00166C99">
        <w:rPr>
          <w:rFonts w:ascii="Calibri" w:hAnsi="Calibri" w:cs="Calibri"/>
          <w:color w:val="595959"/>
          <w:sz w:val="22"/>
          <w:szCs w:val="22"/>
        </w:rPr>
        <w:t xml:space="preserve"> dans son article "L'évolution du paysage de l'imputabilité dans l'UE : une Union de plus en plus dense" dans la Revue Internationale de Sciences Administratives. Dans cette même revue, elle a écrit sur "La politisation de la Commission européenne : le contrôle démocratique et la dynamique de sélection de l'exécutif"</w:t>
      </w:r>
      <w:r w:rsidR="00A052B1" w:rsidRPr="00166C99">
        <w:rPr>
          <w:rFonts w:ascii="Calibri" w:hAnsi="Calibri" w:cs="Calibri"/>
          <w:color w:val="595959"/>
          <w:sz w:val="22"/>
          <w:szCs w:val="22"/>
        </w:rPr>
        <w:t xml:space="preserve">. </w:t>
      </w:r>
    </w:p>
    <w:p w14:paraId="22E05E03" w14:textId="760AD918" w:rsidR="00BE4EA4" w:rsidRPr="00166C99" w:rsidRDefault="001A0BF9" w:rsidP="00166C99">
      <w:pPr>
        <w:pStyle w:val="Heading2"/>
        <w:jc w:val="both"/>
        <w:rPr>
          <w:sz w:val="22"/>
          <w:szCs w:val="22"/>
          <w:u w:val="single"/>
        </w:rPr>
      </w:pPr>
      <w:r w:rsidRPr="00166C99">
        <w:rPr>
          <w:sz w:val="22"/>
          <w:szCs w:val="22"/>
          <w:u w:val="single"/>
        </w:rPr>
        <w:t>R</w:t>
      </w:r>
      <w:r w:rsidR="007517E5" w:rsidRPr="00166C99">
        <w:rPr>
          <w:sz w:val="22"/>
          <w:szCs w:val="22"/>
          <w:u w:val="single"/>
        </w:rPr>
        <w:t xml:space="preserve">ésumé de l’article </w:t>
      </w:r>
    </w:p>
    <w:p w14:paraId="1EA026DA" w14:textId="77777777" w:rsidR="00322611" w:rsidRPr="00166C99" w:rsidRDefault="006B6147" w:rsidP="00166C99">
      <w:pPr>
        <w:pStyle w:val="NormalWeb"/>
        <w:jc w:val="both"/>
        <w:rPr>
          <w:rFonts w:ascii="Calibri" w:hAnsi="Calibri" w:cs="Calibri"/>
          <w:b/>
          <w:bCs/>
          <w:color w:val="595959"/>
          <w:sz w:val="22"/>
          <w:szCs w:val="22"/>
        </w:rPr>
      </w:pPr>
      <w:r w:rsidRPr="00166C99">
        <w:rPr>
          <w:rFonts w:ascii="Calibri" w:hAnsi="Calibri" w:cs="Calibri"/>
          <w:b/>
          <w:bCs/>
          <w:color w:val="595959"/>
          <w:sz w:val="22"/>
          <w:szCs w:val="22"/>
          <w:u w:val="single"/>
        </w:rPr>
        <w:t>Problème</w:t>
      </w:r>
      <w:r w:rsidRPr="00166C99">
        <w:rPr>
          <w:rFonts w:ascii="Calibri" w:hAnsi="Calibri" w:cs="Calibri"/>
          <w:b/>
          <w:bCs/>
          <w:color w:val="595959"/>
          <w:sz w:val="22"/>
          <w:szCs w:val="22"/>
        </w:rPr>
        <w:t xml:space="preserve"> : </w:t>
      </w:r>
    </w:p>
    <w:p w14:paraId="46B58384" w14:textId="3F9DC784" w:rsidR="00331ACC" w:rsidRPr="00166C99" w:rsidRDefault="00322611" w:rsidP="00166C99">
      <w:pPr>
        <w:pStyle w:val="NormalWeb"/>
        <w:jc w:val="both"/>
        <w:rPr>
          <w:rFonts w:ascii="Calibri" w:hAnsi="Calibri" w:cs="Calibri"/>
          <w:color w:val="595959"/>
          <w:sz w:val="22"/>
          <w:szCs w:val="22"/>
        </w:rPr>
      </w:pPr>
      <w:r w:rsidRPr="00166C99">
        <w:rPr>
          <w:rFonts w:ascii="Calibri" w:hAnsi="Calibri" w:cs="Calibri"/>
          <w:color w:val="595959"/>
          <w:sz w:val="22"/>
          <w:szCs w:val="22"/>
        </w:rPr>
        <w:t xml:space="preserve">Dans le cadre de la gouvernance européenne, </w:t>
      </w:r>
      <w:r w:rsidR="00B8778E" w:rsidRPr="00166C99">
        <w:rPr>
          <w:rFonts w:ascii="Calibri" w:hAnsi="Calibri" w:cs="Calibri"/>
          <w:color w:val="595959"/>
          <w:sz w:val="22"/>
          <w:szCs w:val="22"/>
        </w:rPr>
        <w:t xml:space="preserve">la critique récurrente selon </w:t>
      </w:r>
      <w:r w:rsidR="000524F4" w:rsidRPr="00166C99">
        <w:rPr>
          <w:rFonts w:ascii="Calibri" w:hAnsi="Calibri" w:cs="Calibri"/>
          <w:color w:val="595959"/>
          <w:sz w:val="22"/>
          <w:szCs w:val="22"/>
        </w:rPr>
        <w:t>laquelle les</w:t>
      </w:r>
      <w:r w:rsidR="00B8778E" w:rsidRPr="00166C99">
        <w:rPr>
          <w:rFonts w:ascii="Calibri" w:hAnsi="Calibri" w:cs="Calibri"/>
          <w:color w:val="595959"/>
          <w:sz w:val="22"/>
          <w:szCs w:val="22"/>
        </w:rPr>
        <w:t xml:space="preserve"> </w:t>
      </w:r>
      <w:r w:rsidR="001A0BF9" w:rsidRPr="00166C99">
        <w:rPr>
          <w:rFonts w:ascii="Calibri" w:hAnsi="Calibri" w:cs="Calibri"/>
          <w:color w:val="595959"/>
          <w:sz w:val="22"/>
          <w:szCs w:val="22"/>
        </w:rPr>
        <w:t xml:space="preserve">bureaucrates à Bruxelles exercent des pouvoirs exécutifs extensifs sans </w:t>
      </w:r>
      <w:r w:rsidR="004335B0" w:rsidRPr="00166C99">
        <w:rPr>
          <w:rFonts w:ascii="Calibri" w:hAnsi="Calibri" w:cs="Calibri"/>
          <w:color w:val="595959"/>
          <w:sz w:val="22"/>
          <w:szCs w:val="22"/>
        </w:rPr>
        <w:t>« accountability » </w:t>
      </w:r>
      <w:r w:rsidR="00B8778E" w:rsidRPr="00166C99">
        <w:rPr>
          <w:rFonts w:ascii="Calibri" w:hAnsi="Calibri" w:cs="Calibri"/>
          <w:color w:val="595959"/>
          <w:sz w:val="22"/>
          <w:szCs w:val="22"/>
        </w:rPr>
        <w:t xml:space="preserve">, est un objet de débat. </w:t>
      </w:r>
    </w:p>
    <w:p w14:paraId="773D244A" w14:textId="4974C9A0" w:rsidR="001A0BF9" w:rsidRPr="00166C99" w:rsidRDefault="00331ACC" w:rsidP="00166C99">
      <w:pPr>
        <w:pStyle w:val="NormalWeb"/>
        <w:jc w:val="both"/>
        <w:rPr>
          <w:rFonts w:ascii="Calibri" w:hAnsi="Calibri" w:cs="Calibri"/>
          <w:color w:val="595959"/>
          <w:sz w:val="22"/>
          <w:szCs w:val="22"/>
        </w:rPr>
      </w:pPr>
      <w:r w:rsidRPr="00166C99">
        <w:rPr>
          <w:rFonts w:ascii="Calibri" w:hAnsi="Calibri" w:cs="Calibri"/>
          <w:color w:val="595959"/>
          <w:sz w:val="22"/>
          <w:szCs w:val="22"/>
        </w:rPr>
        <w:t>Par conséquent, le chapitre cherche</w:t>
      </w:r>
      <w:r w:rsidR="001A0BF9" w:rsidRPr="00166C99">
        <w:rPr>
          <w:rFonts w:ascii="Calibri" w:hAnsi="Calibri" w:cs="Calibri"/>
          <w:color w:val="595959"/>
          <w:sz w:val="22"/>
          <w:szCs w:val="22"/>
        </w:rPr>
        <w:t xml:space="preserve"> à réfléchir sur les pouvoirs de surveillance</w:t>
      </w:r>
      <w:r w:rsidR="00FA222A" w:rsidRPr="00166C99">
        <w:rPr>
          <w:rFonts w:ascii="Calibri" w:hAnsi="Calibri" w:cs="Calibri"/>
          <w:color w:val="595959"/>
          <w:sz w:val="22"/>
          <w:szCs w:val="22"/>
        </w:rPr>
        <w:t xml:space="preserve">, ainsi que la signification et l’implication de </w:t>
      </w:r>
      <w:r w:rsidR="001A0BF9" w:rsidRPr="00166C99">
        <w:rPr>
          <w:rFonts w:ascii="Calibri" w:hAnsi="Calibri" w:cs="Calibri"/>
          <w:color w:val="595959"/>
          <w:sz w:val="22"/>
          <w:szCs w:val="22"/>
        </w:rPr>
        <w:t>la notion de 'rendre accountable'</w:t>
      </w:r>
      <w:r w:rsidR="00FA222A" w:rsidRPr="00166C99">
        <w:rPr>
          <w:rFonts w:ascii="Calibri" w:hAnsi="Calibri" w:cs="Calibri"/>
          <w:color w:val="595959"/>
          <w:sz w:val="22"/>
          <w:szCs w:val="22"/>
        </w:rPr>
        <w:t>/ ‘accountability’</w:t>
      </w:r>
      <w:r w:rsidR="001A0BF9" w:rsidRPr="00166C99">
        <w:rPr>
          <w:rFonts w:ascii="Calibri" w:hAnsi="Calibri" w:cs="Calibri"/>
          <w:color w:val="595959"/>
          <w:sz w:val="22"/>
          <w:szCs w:val="22"/>
        </w:rPr>
        <w:t xml:space="preserve"> dans le contexte de l'espace administratif européen</w:t>
      </w:r>
      <w:r w:rsidR="007979F7" w:rsidRPr="00166C99">
        <w:rPr>
          <w:rFonts w:ascii="Calibri" w:hAnsi="Calibri" w:cs="Calibri"/>
          <w:color w:val="595959"/>
          <w:sz w:val="22"/>
          <w:szCs w:val="22"/>
        </w:rPr>
        <w:t xml:space="preserve">. </w:t>
      </w:r>
    </w:p>
    <w:p w14:paraId="3D8DA75D" w14:textId="7D26C65F" w:rsidR="00AF1AF2" w:rsidRPr="00166C99" w:rsidRDefault="006F44BB" w:rsidP="00166C99">
      <w:pPr>
        <w:pStyle w:val="NormalWeb"/>
        <w:jc w:val="both"/>
        <w:rPr>
          <w:rFonts w:ascii="Calibri" w:hAnsi="Calibri" w:cs="Calibri"/>
          <w:b/>
          <w:bCs/>
          <w:color w:val="595959"/>
          <w:sz w:val="22"/>
          <w:szCs w:val="22"/>
        </w:rPr>
      </w:pPr>
      <w:r w:rsidRPr="00166C99">
        <w:rPr>
          <w:rFonts w:ascii="Calibri" w:hAnsi="Calibri" w:cs="Calibri"/>
          <w:color w:val="595959"/>
          <w:sz w:val="22"/>
          <w:szCs w:val="22"/>
        </w:rPr>
        <w:t xml:space="preserve">La problématique identifiée par l’auteure est la suivante : </w:t>
      </w:r>
      <w:r w:rsidR="001A0BF9" w:rsidRPr="00166C99">
        <w:rPr>
          <w:rFonts w:ascii="Calibri" w:hAnsi="Calibri" w:cs="Calibri"/>
          <w:b/>
          <w:bCs/>
          <w:color w:val="595959"/>
          <w:sz w:val="22"/>
          <w:szCs w:val="22"/>
        </w:rPr>
        <w:t xml:space="preserve">Quels sont les forums d'accountability mis en place </w:t>
      </w:r>
      <w:r w:rsidR="007A76DC" w:rsidRPr="00166C99">
        <w:rPr>
          <w:rFonts w:ascii="Calibri" w:hAnsi="Calibri" w:cs="Calibri"/>
          <w:b/>
          <w:bCs/>
          <w:color w:val="595959"/>
          <w:sz w:val="22"/>
          <w:szCs w:val="22"/>
        </w:rPr>
        <w:t xml:space="preserve">en vue des </w:t>
      </w:r>
      <w:r w:rsidR="000A0790" w:rsidRPr="00166C99">
        <w:rPr>
          <w:rFonts w:ascii="Calibri" w:hAnsi="Calibri" w:cs="Calibri"/>
          <w:b/>
          <w:bCs/>
          <w:color w:val="595959"/>
          <w:sz w:val="22"/>
          <w:szCs w:val="22"/>
        </w:rPr>
        <w:t>divers</w:t>
      </w:r>
      <w:r w:rsidR="001A0BF9" w:rsidRPr="00166C99">
        <w:rPr>
          <w:rFonts w:ascii="Calibri" w:hAnsi="Calibri" w:cs="Calibri"/>
          <w:b/>
          <w:bCs/>
          <w:color w:val="595959"/>
          <w:sz w:val="22"/>
          <w:szCs w:val="22"/>
        </w:rPr>
        <w:t xml:space="preserve"> acteurs administratifs engagés dans l</w:t>
      </w:r>
      <w:r w:rsidR="00BB15AD" w:rsidRPr="00166C99">
        <w:rPr>
          <w:rFonts w:ascii="Calibri" w:hAnsi="Calibri" w:cs="Calibri"/>
          <w:b/>
          <w:bCs/>
          <w:color w:val="595959"/>
          <w:sz w:val="22"/>
          <w:szCs w:val="22"/>
        </w:rPr>
        <w:t>’exercice du</w:t>
      </w:r>
      <w:r w:rsidR="001A0BF9" w:rsidRPr="00166C99">
        <w:rPr>
          <w:rFonts w:ascii="Calibri" w:hAnsi="Calibri" w:cs="Calibri"/>
          <w:b/>
          <w:bCs/>
          <w:color w:val="595959"/>
          <w:sz w:val="22"/>
          <w:szCs w:val="22"/>
        </w:rPr>
        <w:t xml:space="preserve"> pouvoir exécutif d</w:t>
      </w:r>
      <w:r w:rsidR="00BB15AD" w:rsidRPr="00166C99">
        <w:rPr>
          <w:rFonts w:ascii="Calibri" w:hAnsi="Calibri" w:cs="Calibri"/>
          <w:b/>
          <w:bCs/>
          <w:color w:val="595959"/>
          <w:sz w:val="22"/>
          <w:szCs w:val="22"/>
        </w:rPr>
        <w:t>ans</w:t>
      </w:r>
      <w:r w:rsidR="001A0BF9" w:rsidRPr="00166C99">
        <w:rPr>
          <w:rFonts w:ascii="Calibri" w:hAnsi="Calibri" w:cs="Calibri"/>
          <w:b/>
          <w:bCs/>
          <w:color w:val="595959"/>
          <w:sz w:val="22"/>
          <w:szCs w:val="22"/>
        </w:rPr>
        <w:t xml:space="preserve"> l'UE?</w:t>
      </w:r>
    </w:p>
    <w:p w14:paraId="4EB5167A" w14:textId="7DE10E9B" w:rsidR="00AF1AF2" w:rsidRPr="00166C99" w:rsidRDefault="00AF1AF2" w:rsidP="00166C99">
      <w:pPr>
        <w:pStyle w:val="NormalWeb"/>
        <w:jc w:val="both"/>
        <w:rPr>
          <w:rFonts w:ascii="Calibri" w:hAnsi="Calibri" w:cs="Calibri"/>
          <w:b/>
          <w:bCs/>
          <w:color w:val="595959"/>
          <w:sz w:val="22"/>
          <w:szCs w:val="22"/>
          <w:u w:val="single"/>
        </w:rPr>
      </w:pPr>
      <w:r w:rsidRPr="00166C99">
        <w:rPr>
          <w:rFonts w:ascii="Calibri" w:hAnsi="Calibri" w:cs="Calibri"/>
          <w:b/>
          <w:bCs/>
          <w:color w:val="595959"/>
          <w:sz w:val="22"/>
          <w:szCs w:val="22"/>
          <w:u w:val="single"/>
        </w:rPr>
        <w:t>Hypothèse</w:t>
      </w:r>
      <w:r w:rsidR="00FD7A0C" w:rsidRPr="00166C99">
        <w:rPr>
          <w:rFonts w:ascii="Calibri" w:hAnsi="Calibri" w:cs="Calibri"/>
          <w:b/>
          <w:bCs/>
          <w:color w:val="595959"/>
          <w:sz w:val="22"/>
          <w:szCs w:val="22"/>
          <w:u w:val="single"/>
        </w:rPr>
        <w:t> :</w:t>
      </w:r>
    </w:p>
    <w:p w14:paraId="7E1669BE" w14:textId="77777777" w:rsidR="00B13EE3" w:rsidRPr="00166C99" w:rsidRDefault="00B05261" w:rsidP="00166C99">
      <w:pPr>
        <w:pStyle w:val="NormalWeb"/>
        <w:jc w:val="both"/>
        <w:rPr>
          <w:rFonts w:ascii="Calibri" w:hAnsi="Calibri" w:cs="Calibri"/>
          <w:color w:val="595959"/>
          <w:sz w:val="22"/>
          <w:szCs w:val="22"/>
        </w:rPr>
      </w:pPr>
      <w:r w:rsidRPr="00166C99">
        <w:rPr>
          <w:rFonts w:ascii="Calibri" w:hAnsi="Calibri" w:cs="Calibri"/>
          <w:color w:val="595959"/>
          <w:sz w:val="22"/>
          <w:szCs w:val="22"/>
        </w:rPr>
        <w:t>Le chapitre contient une dimension plus descriptive qu’argumentative</w:t>
      </w:r>
      <w:r w:rsidR="00780A99" w:rsidRPr="00166C99">
        <w:rPr>
          <w:rFonts w:ascii="Calibri" w:hAnsi="Calibri" w:cs="Calibri"/>
          <w:color w:val="595959"/>
          <w:sz w:val="22"/>
          <w:szCs w:val="22"/>
        </w:rPr>
        <w:t xml:space="preserve"> en se concentrant sur les watchdogs institutions (institutions ‘chiens de garde’/ qui surveillent) centrales</w:t>
      </w:r>
      <w:r w:rsidR="0006325A" w:rsidRPr="00166C99">
        <w:rPr>
          <w:rFonts w:ascii="Calibri" w:hAnsi="Calibri" w:cs="Calibri"/>
          <w:color w:val="595959"/>
          <w:sz w:val="22"/>
          <w:szCs w:val="22"/>
        </w:rPr>
        <w:t xml:space="preserve">. </w:t>
      </w:r>
      <w:r w:rsidR="00835371" w:rsidRPr="00166C99">
        <w:rPr>
          <w:rFonts w:ascii="Calibri" w:hAnsi="Calibri" w:cs="Calibri"/>
          <w:color w:val="595959"/>
          <w:sz w:val="22"/>
          <w:szCs w:val="22"/>
        </w:rPr>
        <w:t>Il veut</w:t>
      </w:r>
      <w:r w:rsidR="006F604D" w:rsidRPr="00166C99">
        <w:rPr>
          <w:rFonts w:ascii="Calibri" w:hAnsi="Calibri" w:cs="Calibri"/>
          <w:color w:val="595959"/>
          <w:sz w:val="22"/>
          <w:szCs w:val="22"/>
        </w:rPr>
        <w:t xml:space="preserve"> rendre compte </w:t>
      </w:r>
      <w:r w:rsidR="006F604D" w:rsidRPr="00166C99">
        <w:rPr>
          <w:rFonts w:ascii="Calibri" w:hAnsi="Calibri" w:cs="Calibri"/>
          <w:color w:val="595959"/>
          <w:sz w:val="22"/>
          <w:szCs w:val="22"/>
        </w:rPr>
        <w:lastRenderedPageBreak/>
        <w:t xml:space="preserve">des arrangements et mécanismes complexes d’accountability qui se sont tissés autour de l’exécutif de l’UE. </w:t>
      </w:r>
    </w:p>
    <w:p w14:paraId="49006B8A" w14:textId="59AA8753" w:rsidR="00FD7A0C" w:rsidRPr="00166C99" w:rsidRDefault="00DF39E9" w:rsidP="00166C99">
      <w:pPr>
        <w:pStyle w:val="NormalWeb"/>
        <w:jc w:val="both"/>
        <w:rPr>
          <w:rFonts w:ascii="Calibri" w:hAnsi="Calibri" w:cs="Calibri"/>
          <w:i/>
          <w:iCs/>
          <w:color w:val="595959"/>
          <w:sz w:val="22"/>
          <w:szCs w:val="22"/>
        </w:rPr>
      </w:pPr>
      <w:r w:rsidRPr="00166C99">
        <w:rPr>
          <w:rFonts w:ascii="Calibri" w:hAnsi="Calibri" w:cs="Calibri"/>
          <w:color w:val="595959"/>
          <w:sz w:val="22"/>
          <w:szCs w:val="22"/>
        </w:rPr>
        <w:t xml:space="preserve">Par cette démarche, </w:t>
      </w:r>
      <w:r w:rsidR="00E14239" w:rsidRPr="00166C99">
        <w:rPr>
          <w:rFonts w:ascii="Calibri" w:hAnsi="Calibri" w:cs="Calibri"/>
          <w:color w:val="595959"/>
          <w:sz w:val="22"/>
          <w:szCs w:val="22"/>
        </w:rPr>
        <w:t xml:space="preserve">l’auteure </w:t>
      </w:r>
      <w:r w:rsidR="00C541CB" w:rsidRPr="00166C99">
        <w:rPr>
          <w:rFonts w:ascii="Calibri" w:hAnsi="Calibri" w:cs="Calibri"/>
          <w:color w:val="595959"/>
          <w:sz w:val="22"/>
          <w:szCs w:val="22"/>
        </w:rPr>
        <w:t xml:space="preserve">dépeint </w:t>
      </w:r>
      <w:r w:rsidR="00B54592" w:rsidRPr="00166C99">
        <w:rPr>
          <w:rFonts w:ascii="Calibri" w:hAnsi="Calibri" w:cs="Calibri"/>
          <w:color w:val="595959"/>
          <w:sz w:val="22"/>
          <w:szCs w:val="22"/>
        </w:rPr>
        <w:t>le tableau d’</w:t>
      </w:r>
      <w:r w:rsidR="00E14239" w:rsidRPr="00166C99">
        <w:rPr>
          <w:rFonts w:ascii="Calibri" w:hAnsi="Calibri" w:cs="Calibri"/>
          <w:color w:val="595959"/>
          <w:sz w:val="22"/>
          <w:szCs w:val="22"/>
        </w:rPr>
        <w:t>une architecture d’accountability fragmentée</w:t>
      </w:r>
      <w:r w:rsidR="009B3CF0" w:rsidRPr="00166C99">
        <w:rPr>
          <w:rFonts w:ascii="Calibri" w:hAnsi="Calibri" w:cs="Calibri"/>
          <w:color w:val="595959"/>
          <w:sz w:val="22"/>
          <w:szCs w:val="22"/>
        </w:rPr>
        <w:t xml:space="preserve">, dense </w:t>
      </w:r>
      <w:r w:rsidR="00E14239" w:rsidRPr="00166C99">
        <w:rPr>
          <w:rFonts w:ascii="Calibri" w:hAnsi="Calibri" w:cs="Calibri"/>
          <w:color w:val="595959"/>
          <w:sz w:val="22"/>
          <w:szCs w:val="22"/>
        </w:rPr>
        <w:t>et complexe pour surveiller l’exécutif européen</w:t>
      </w:r>
      <w:r w:rsidR="00CB7C8F" w:rsidRPr="00166C99">
        <w:rPr>
          <w:rFonts w:ascii="Calibri" w:hAnsi="Calibri" w:cs="Calibri"/>
          <w:color w:val="595959"/>
          <w:sz w:val="22"/>
          <w:szCs w:val="22"/>
        </w:rPr>
        <w:t xml:space="preserve">, particulièrement dans le cadre d’une structure de gouvernance de l’UE qui est complexe car multiniveau et multidimensionnelle. </w:t>
      </w:r>
    </w:p>
    <w:p w14:paraId="5ED96179" w14:textId="692E6440" w:rsidR="00FD7A0C" w:rsidRPr="00166C99" w:rsidRDefault="00FD7A0C" w:rsidP="00166C99">
      <w:pPr>
        <w:pStyle w:val="NormalWeb"/>
        <w:jc w:val="both"/>
        <w:rPr>
          <w:rFonts w:ascii="Calibri" w:hAnsi="Calibri" w:cs="Calibri"/>
          <w:color w:val="595959"/>
          <w:sz w:val="22"/>
          <w:szCs w:val="22"/>
          <w:u w:val="single"/>
        </w:rPr>
      </w:pPr>
      <w:r w:rsidRPr="00166C99">
        <w:rPr>
          <w:rFonts w:ascii="Calibri" w:hAnsi="Calibri" w:cs="Calibri"/>
          <w:b/>
          <w:bCs/>
          <w:color w:val="595959"/>
          <w:sz w:val="22"/>
          <w:szCs w:val="22"/>
          <w:u w:val="single"/>
        </w:rPr>
        <w:t>Démonstration :</w:t>
      </w:r>
      <w:r w:rsidR="003166E1" w:rsidRPr="00166C99">
        <w:rPr>
          <w:rFonts w:ascii="Calibri" w:hAnsi="Calibri" w:cs="Calibri"/>
          <w:color w:val="595959"/>
          <w:sz w:val="22"/>
          <w:szCs w:val="22"/>
          <w:u w:val="single"/>
        </w:rPr>
        <w:t xml:space="preserve"> </w:t>
      </w:r>
      <w:r w:rsidR="00BD545E" w:rsidRPr="00166C99">
        <w:rPr>
          <w:rFonts w:ascii="Calibri" w:hAnsi="Calibri" w:cs="Calibri"/>
          <w:color w:val="595959"/>
          <w:sz w:val="22"/>
          <w:szCs w:val="22"/>
        </w:rPr>
        <w:t>La démonstration</w:t>
      </w:r>
      <w:r w:rsidR="00C541CB" w:rsidRPr="00166C99">
        <w:rPr>
          <w:rFonts w:ascii="Calibri" w:hAnsi="Calibri" w:cs="Calibri"/>
          <w:color w:val="595959"/>
          <w:sz w:val="22"/>
          <w:szCs w:val="22"/>
        </w:rPr>
        <w:t xml:space="preserve"> </w:t>
      </w:r>
      <w:r w:rsidR="00BD545E" w:rsidRPr="00166C99">
        <w:rPr>
          <w:rFonts w:ascii="Calibri" w:hAnsi="Calibri" w:cs="Calibri"/>
          <w:color w:val="595959"/>
          <w:sz w:val="22"/>
          <w:szCs w:val="22"/>
        </w:rPr>
        <w:t>se dé</w:t>
      </w:r>
      <w:r w:rsidR="003166E1" w:rsidRPr="00166C99">
        <w:rPr>
          <w:rFonts w:ascii="Calibri" w:hAnsi="Calibri" w:cs="Calibri"/>
          <w:color w:val="595959"/>
          <w:sz w:val="22"/>
          <w:szCs w:val="22"/>
        </w:rPr>
        <w:t>veloppe</w:t>
      </w:r>
      <w:r w:rsidR="00BD545E" w:rsidRPr="00166C99">
        <w:rPr>
          <w:rFonts w:ascii="Calibri" w:hAnsi="Calibri" w:cs="Calibri"/>
          <w:color w:val="595959"/>
          <w:sz w:val="22"/>
          <w:szCs w:val="22"/>
        </w:rPr>
        <w:t xml:space="preserve"> en 4 parties.</w:t>
      </w:r>
    </w:p>
    <w:p w14:paraId="54803DC8" w14:textId="6236C52D" w:rsidR="00000A9E" w:rsidRPr="00166C99" w:rsidRDefault="00000A9E" w:rsidP="00166C99">
      <w:pPr>
        <w:pStyle w:val="Subtitle"/>
        <w:jc w:val="both"/>
        <w:rPr>
          <w:u w:val="single"/>
        </w:rPr>
      </w:pPr>
      <w:r w:rsidRPr="00166C99">
        <w:rPr>
          <w:u w:val="single"/>
        </w:rPr>
        <w:t xml:space="preserve">I. </w:t>
      </w:r>
      <w:r w:rsidR="00834BFA" w:rsidRPr="00166C99">
        <w:rPr>
          <w:u w:val="single"/>
        </w:rPr>
        <w:t xml:space="preserve">Maintenir l’exécutif ‘accountable’ : un cadre conceptuel </w:t>
      </w:r>
    </w:p>
    <w:p w14:paraId="4F6F6280" w14:textId="43D96D2A" w:rsidR="00BD545E" w:rsidRPr="00166C99" w:rsidRDefault="00BD545E" w:rsidP="00166C99">
      <w:pPr>
        <w:pStyle w:val="NormalWeb"/>
        <w:jc w:val="both"/>
        <w:rPr>
          <w:rFonts w:ascii="Calibri" w:hAnsi="Calibri" w:cs="Calibri"/>
          <w:color w:val="595959"/>
          <w:sz w:val="22"/>
          <w:szCs w:val="22"/>
        </w:rPr>
      </w:pPr>
      <w:r w:rsidRPr="00166C99">
        <w:rPr>
          <w:rFonts w:ascii="Calibri" w:hAnsi="Calibri" w:cs="Calibri"/>
          <w:color w:val="595959"/>
          <w:sz w:val="22"/>
          <w:szCs w:val="22"/>
        </w:rPr>
        <w:t xml:space="preserve">Wille commence </w:t>
      </w:r>
      <w:r w:rsidR="00704A67" w:rsidRPr="00166C99">
        <w:rPr>
          <w:rFonts w:ascii="Calibri" w:hAnsi="Calibri" w:cs="Calibri"/>
          <w:color w:val="595959"/>
          <w:sz w:val="22"/>
          <w:szCs w:val="22"/>
        </w:rPr>
        <w:t xml:space="preserve">par définir le cadre conceptuel qui va informer son analyse, en élaborant une </w:t>
      </w:r>
      <w:r w:rsidRPr="00166C99">
        <w:rPr>
          <w:rFonts w:ascii="Calibri" w:hAnsi="Calibri" w:cs="Calibri"/>
          <w:color w:val="595959"/>
          <w:sz w:val="22"/>
          <w:szCs w:val="22"/>
        </w:rPr>
        <w:t xml:space="preserve">définition de travail de l’accountability. </w:t>
      </w:r>
      <w:r w:rsidR="00C541CB" w:rsidRPr="00166C99">
        <w:rPr>
          <w:rFonts w:ascii="Calibri" w:hAnsi="Calibri" w:cs="Calibri"/>
          <w:color w:val="595959"/>
          <w:sz w:val="22"/>
          <w:szCs w:val="22"/>
        </w:rPr>
        <w:t xml:space="preserve">Dans ce chapitre, elle restreint </w:t>
      </w:r>
      <w:r w:rsidR="00C541CB" w:rsidRPr="00166C99">
        <w:rPr>
          <w:rFonts w:ascii="Calibri" w:hAnsi="Calibri" w:cs="Calibri"/>
          <w:b/>
          <w:bCs/>
          <w:color w:val="595959"/>
          <w:sz w:val="22"/>
          <w:szCs w:val="22"/>
        </w:rPr>
        <w:t>l’accountability à la vérification après les faits, ex post.</w:t>
      </w:r>
      <w:r w:rsidR="00C541CB" w:rsidRPr="00166C99">
        <w:rPr>
          <w:rFonts w:ascii="Calibri" w:hAnsi="Calibri" w:cs="Calibri"/>
          <w:color w:val="595959"/>
          <w:sz w:val="22"/>
          <w:szCs w:val="22"/>
        </w:rPr>
        <w:t xml:space="preserve"> Cela </w:t>
      </w:r>
      <w:r w:rsidR="0006145B">
        <w:rPr>
          <w:rFonts w:ascii="Calibri" w:hAnsi="Calibri" w:cs="Calibri"/>
          <w:color w:val="595959"/>
          <w:sz w:val="22"/>
          <w:szCs w:val="22"/>
        </w:rPr>
        <w:t>consiste</w:t>
      </w:r>
      <w:r w:rsidR="00611EE3" w:rsidRPr="00166C99">
        <w:rPr>
          <w:rFonts w:ascii="Calibri" w:hAnsi="Calibri" w:cs="Calibri"/>
          <w:color w:val="595959"/>
          <w:sz w:val="22"/>
          <w:szCs w:val="22"/>
        </w:rPr>
        <w:t xml:space="preserve"> par exemple</w:t>
      </w:r>
      <w:r w:rsidR="0006145B">
        <w:rPr>
          <w:rFonts w:ascii="Calibri" w:hAnsi="Calibri" w:cs="Calibri"/>
          <w:color w:val="595959"/>
          <w:sz w:val="22"/>
          <w:szCs w:val="22"/>
        </w:rPr>
        <w:t xml:space="preserve"> en</w:t>
      </w:r>
      <w:r w:rsidR="00C541CB" w:rsidRPr="00166C99">
        <w:rPr>
          <w:rFonts w:ascii="Calibri" w:hAnsi="Calibri" w:cs="Calibri"/>
          <w:color w:val="595959"/>
          <w:sz w:val="22"/>
          <w:szCs w:val="22"/>
        </w:rPr>
        <w:t xml:space="preserve"> des forums qui </w:t>
      </w:r>
      <w:r w:rsidR="0006145B">
        <w:rPr>
          <w:rFonts w:ascii="Calibri" w:hAnsi="Calibri" w:cs="Calibri"/>
          <w:color w:val="595959"/>
          <w:sz w:val="22"/>
          <w:szCs w:val="22"/>
        </w:rPr>
        <w:t xml:space="preserve">examinent </w:t>
      </w:r>
      <w:r w:rsidR="00C541CB" w:rsidRPr="00166C99">
        <w:rPr>
          <w:rFonts w:ascii="Calibri" w:hAnsi="Calibri" w:cs="Calibri"/>
          <w:color w:val="595959"/>
          <w:sz w:val="22"/>
          <w:szCs w:val="22"/>
        </w:rPr>
        <w:t>des politiques qui sont ou ont été mises en place, des investigations d’actions administratives passées ou encore appeler les agents de l’exécutif à rendre compte de leurs transactions financières.</w:t>
      </w:r>
      <w:r w:rsidR="00203D30" w:rsidRPr="00166C99">
        <w:rPr>
          <w:rFonts w:ascii="Calibri" w:hAnsi="Calibri" w:cs="Calibri"/>
          <w:color w:val="595959"/>
          <w:sz w:val="22"/>
          <w:szCs w:val="22"/>
        </w:rPr>
        <w:t xml:space="preserve"> </w:t>
      </w:r>
    </w:p>
    <w:p w14:paraId="149F750E" w14:textId="1D6EC7DF" w:rsidR="00203D30" w:rsidRPr="00166C99" w:rsidRDefault="00203D30" w:rsidP="00166C99">
      <w:pPr>
        <w:pStyle w:val="Subtitle"/>
        <w:jc w:val="both"/>
        <w:rPr>
          <w:u w:val="single"/>
        </w:rPr>
      </w:pPr>
      <w:r w:rsidRPr="00166C99">
        <w:rPr>
          <w:u w:val="single"/>
        </w:rPr>
        <w:t xml:space="preserve">II. </w:t>
      </w:r>
      <w:r w:rsidR="00491047" w:rsidRPr="00166C99">
        <w:rPr>
          <w:u w:val="single"/>
        </w:rPr>
        <w:t>Les ‘watchdogs’ de l’Europe : un pouvoir de s</w:t>
      </w:r>
      <w:r w:rsidR="00C2500B" w:rsidRPr="00166C99">
        <w:rPr>
          <w:u w:val="single"/>
        </w:rPr>
        <w:t>upervision</w:t>
      </w:r>
    </w:p>
    <w:p w14:paraId="11B25442" w14:textId="67042699" w:rsidR="00EF5394" w:rsidRPr="00166C99" w:rsidRDefault="009B3CF0" w:rsidP="00166C99">
      <w:pPr>
        <w:pStyle w:val="NormalWeb"/>
        <w:jc w:val="both"/>
        <w:rPr>
          <w:rFonts w:ascii="Calibri" w:hAnsi="Calibri" w:cs="Calibri"/>
          <w:i/>
          <w:iCs/>
          <w:color w:val="595959"/>
          <w:sz w:val="22"/>
          <w:szCs w:val="22"/>
        </w:rPr>
      </w:pPr>
      <w:r w:rsidRPr="00166C99">
        <w:rPr>
          <w:rFonts w:ascii="Calibri" w:hAnsi="Calibri" w:cs="Calibri"/>
          <w:color w:val="595959"/>
          <w:sz w:val="22"/>
          <w:szCs w:val="22"/>
        </w:rPr>
        <w:t>Ensuite, l'auteure identifie et décrit le design institutionnel</w:t>
      </w:r>
      <w:r w:rsidR="00216814">
        <w:rPr>
          <w:rFonts w:ascii="Calibri" w:hAnsi="Calibri" w:cs="Calibri"/>
          <w:color w:val="595959"/>
          <w:sz w:val="22"/>
          <w:szCs w:val="22"/>
        </w:rPr>
        <w:t xml:space="preserve"> </w:t>
      </w:r>
      <w:r w:rsidRPr="00166C99">
        <w:rPr>
          <w:rFonts w:ascii="Calibri" w:hAnsi="Calibri" w:cs="Calibri"/>
          <w:color w:val="595959"/>
          <w:sz w:val="22"/>
          <w:szCs w:val="22"/>
        </w:rPr>
        <w:t>de 7  'watchdogs' de l'Europe qui font partie de la liste des forums crées pour maintenir l'accountability de l'exécutif de l'UE</w:t>
      </w:r>
      <w:r w:rsidRPr="00166C99">
        <w:rPr>
          <w:rFonts w:ascii="Calibri" w:hAnsi="Calibri" w:cs="Calibri"/>
          <w:i/>
          <w:iCs/>
          <w:color w:val="595959"/>
          <w:sz w:val="22"/>
          <w:szCs w:val="22"/>
        </w:rPr>
        <w:t xml:space="preserve">. </w:t>
      </w:r>
    </w:p>
    <w:p w14:paraId="27334FBB" w14:textId="2C74F40E" w:rsidR="009B3CF0" w:rsidRPr="00166C99" w:rsidRDefault="009B3CF0" w:rsidP="00166C99">
      <w:pPr>
        <w:pStyle w:val="NormalWeb"/>
        <w:jc w:val="both"/>
        <w:rPr>
          <w:rFonts w:ascii="Calibri" w:hAnsi="Calibri" w:cs="Calibri"/>
          <w:i/>
          <w:iCs/>
          <w:color w:val="595959"/>
          <w:sz w:val="22"/>
          <w:szCs w:val="22"/>
        </w:rPr>
      </w:pPr>
      <w:r w:rsidRPr="00166C99">
        <w:rPr>
          <w:rFonts w:ascii="Calibri" w:hAnsi="Calibri" w:cs="Calibri"/>
          <w:color w:val="595959"/>
          <w:sz w:val="22"/>
          <w:szCs w:val="22"/>
        </w:rPr>
        <w:t>Les watchdogs sont les suivants :</w:t>
      </w:r>
      <w:r w:rsidR="005A0CAA" w:rsidRPr="00166C99">
        <w:rPr>
          <w:rFonts w:ascii="Calibri" w:hAnsi="Calibri" w:cs="Calibri"/>
          <w:color w:val="595959"/>
          <w:sz w:val="22"/>
          <w:szCs w:val="22"/>
        </w:rPr>
        <w:t> </w:t>
      </w:r>
      <w:r w:rsidRPr="00166C99">
        <w:rPr>
          <w:rFonts w:ascii="Calibri" w:hAnsi="Calibri" w:cs="Calibri"/>
          <w:color w:val="595959"/>
          <w:sz w:val="22"/>
          <w:szCs w:val="22"/>
        </w:rPr>
        <w:t>Le Parlement Européen</w:t>
      </w:r>
      <w:r w:rsidR="005A0CAA" w:rsidRPr="00166C99">
        <w:rPr>
          <w:rFonts w:ascii="Calibri" w:hAnsi="Calibri" w:cs="Calibri"/>
          <w:color w:val="595959"/>
          <w:sz w:val="22"/>
          <w:szCs w:val="22"/>
        </w:rPr>
        <w:t xml:space="preserve"> ; </w:t>
      </w:r>
      <w:r w:rsidR="002A6246">
        <w:rPr>
          <w:rFonts w:ascii="Calibri" w:hAnsi="Calibri" w:cs="Calibri"/>
          <w:color w:val="595959"/>
          <w:sz w:val="22"/>
          <w:szCs w:val="22"/>
        </w:rPr>
        <w:t>L</w:t>
      </w:r>
      <w:r w:rsidRPr="00166C99">
        <w:rPr>
          <w:rFonts w:ascii="Calibri" w:hAnsi="Calibri" w:cs="Calibri"/>
          <w:color w:val="595959"/>
          <w:sz w:val="22"/>
          <w:szCs w:val="22"/>
        </w:rPr>
        <w:t>es Parlements Nationaux</w:t>
      </w:r>
      <w:r w:rsidR="005A0CAA" w:rsidRPr="00166C99">
        <w:rPr>
          <w:rFonts w:ascii="Calibri" w:hAnsi="Calibri" w:cs="Calibri"/>
          <w:color w:val="595959"/>
          <w:sz w:val="22"/>
          <w:szCs w:val="22"/>
        </w:rPr>
        <w:t xml:space="preserve"> ; </w:t>
      </w:r>
      <w:r w:rsidRPr="00166C99">
        <w:rPr>
          <w:rFonts w:ascii="Calibri" w:hAnsi="Calibri" w:cs="Calibri"/>
          <w:color w:val="595959"/>
          <w:sz w:val="22"/>
          <w:szCs w:val="22"/>
        </w:rPr>
        <w:t>La Cour de Justice Européenne</w:t>
      </w:r>
      <w:r w:rsidR="005A0CAA" w:rsidRPr="00166C99">
        <w:rPr>
          <w:rFonts w:ascii="Calibri" w:hAnsi="Calibri" w:cs="Calibri"/>
          <w:color w:val="595959"/>
          <w:sz w:val="22"/>
          <w:szCs w:val="22"/>
        </w:rPr>
        <w:t xml:space="preserve"> ; La </w:t>
      </w:r>
      <w:r w:rsidRPr="00166C99">
        <w:rPr>
          <w:rFonts w:ascii="Calibri" w:hAnsi="Calibri" w:cs="Calibri"/>
          <w:color w:val="595959"/>
          <w:sz w:val="22"/>
          <w:szCs w:val="22"/>
        </w:rPr>
        <w:t>Cour des Comptes Européenne</w:t>
      </w:r>
      <w:r w:rsidR="005A0CAA" w:rsidRPr="00166C99">
        <w:rPr>
          <w:rFonts w:ascii="Calibri" w:hAnsi="Calibri" w:cs="Calibri"/>
          <w:color w:val="595959"/>
          <w:sz w:val="22"/>
          <w:szCs w:val="22"/>
        </w:rPr>
        <w:t> ; l’</w:t>
      </w:r>
      <w:r w:rsidRPr="00166C99">
        <w:rPr>
          <w:rFonts w:ascii="Calibri" w:hAnsi="Calibri" w:cs="Calibri"/>
          <w:color w:val="595959"/>
          <w:sz w:val="22"/>
          <w:szCs w:val="22"/>
        </w:rPr>
        <w:t>Ombudsman Européen</w:t>
      </w:r>
      <w:r w:rsidR="005A0CAA" w:rsidRPr="00166C99">
        <w:rPr>
          <w:rFonts w:ascii="Calibri" w:hAnsi="Calibri" w:cs="Calibri"/>
          <w:color w:val="595959"/>
          <w:sz w:val="22"/>
          <w:szCs w:val="22"/>
        </w:rPr>
        <w:t xml:space="preserve"> ; </w:t>
      </w:r>
      <w:r w:rsidR="00673EAA" w:rsidRPr="00166C99">
        <w:rPr>
          <w:rFonts w:ascii="Calibri" w:hAnsi="Calibri" w:cs="Calibri"/>
          <w:color w:val="595959"/>
          <w:sz w:val="22"/>
          <w:szCs w:val="22"/>
        </w:rPr>
        <w:t>l’</w:t>
      </w:r>
      <w:r w:rsidRPr="00166C99">
        <w:rPr>
          <w:rFonts w:ascii="Calibri" w:hAnsi="Calibri" w:cs="Calibri"/>
          <w:color w:val="595959"/>
          <w:sz w:val="22"/>
          <w:szCs w:val="22"/>
        </w:rPr>
        <w:t>Office Européen de Lutte Antifraude</w:t>
      </w:r>
      <w:r w:rsidR="00673EAA" w:rsidRPr="00166C99">
        <w:rPr>
          <w:rFonts w:ascii="Calibri" w:hAnsi="Calibri" w:cs="Calibri"/>
          <w:color w:val="595959"/>
          <w:sz w:val="22"/>
          <w:szCs w:val="22"/>
        </w:rPr>
        <w:t> ; les w</w:t>
      </w:r>
      <w:r w:rsidRPr="00166C99">
        <w:rPr>
          <w:rFonts w:ascii="Calibri" w:hAnsi="Calibri" w:cs="Calibri"/>
          <w:color w:val="595959"/>
          <w:sz w:val="22"/>
          <w:szCs w:val="22"/>
        </w:rPr>
        <w:t xml:space="preserve">atchdogs non gouvernementaux : organisations de la société civile, ONG… </w:t>
      </w:r>
    </w:p>
    <w:p w14:paraId="6C57402F" w14:textId="61EDAA22" w:rsidR="009B3CF0" w:rsidRPr="00166C99" w:rsidRDefault="00673EAA" w:rsidP="00166C99">
      <w:pPr>
        <w:pStyle w:val="Subtitle"/>
        <w:jc w:val="both"/>
        <w:rPr>
          <w:u w:val="single"/>
        </w:rPr>
      </w:pPr>
      <w:r w:rsidRPr="00166C99">
        <w:rPr>
          <w:u w:val="single"/>
        </w:rPr>
        <w:t xml:space="preserve">III. </w:t>
      </w:r>
      <w:r w:rsidR="003904AE" w:rsidRPr="00166C99">
        <w:rPr>
          <w:u w:val="single"/>
        </w:rPr>
        <w:t xml:space="preserve">La multiplication des forums d’accountability </w:t>
      </w:r>
    </w:p>
    <w:p w14:paraId="4ECBFD7E" w14:textId="0EEAA1DA" w:rsidR="003904AE" w:rsidRPr="00166C99" w:rsidRDefault="003904AE" w:rsidP="00166C99">
      <w:pPr>
        <w:pStyle w:val="NormalWeb"/>
        <w:jc w:val="both"/>
        <w:rPr>
          <w:rFonts w:ascii="Calibri" w:hAnsi="Calibri" w:cs="Calibri"/>
          <w:color w:val="595959"/>
          <w:sz w:val="22"/>
          <w:szCs w:val="22"/>
        </w:rPr>
      </w:pPr>
      <w:r w:rsidRPr="00166C99">
        <w:rPr>
          <w:rFonts w:ascii="Calibri" w:hAnsi="Calibri" w:cs="Calibri"/>
          <w:color w:val="595959"/>
          <w:sz w:val="22"/>
          <w:szCs w:val="22"/>
        </w:rPr>
        <w:t xml:space="preserve">Wille </w:t>
      </w:r>
      <w:r w:rsidR="009E12F2" w:rsidRPr="00166C99">
        <w:rPr>
          <w:rFonts w:ascii="Calibri" w:hAnsi="Calibri" w:cs="Calibri"/>
          <w:color w:val="595959"/>
          <w:sz w:val="22"/>
          <w:szCs w:val="22"/>
        </w:rPr>
        <w:t xml:space="preserve">explique </w:t>
      </w:r>
      <w:r w:rsidR="00B3737F" w:rsidRPr="00166C99">
        <w:rPr>
          <w:rFonts w:ascii="Calibri" w:hAnsi="Calibri" w:cs="Calibri"/>
          <w:color w:val="595959"/>
          <w:sz w:val="22"/>
          <w:szCs w:val="22"/>
        </w:rPr>
        <w:t>pourquoi le</w:t>
      </w:r>
      <w:r w:rsidR="00515CD1" w:rsidRPr="00166C99">
        <w:rPr>
          <w:rFonts w:ascii="Calibri" w:hAnsi="Calibri" w:cs="Calibri"/>
          <w:color w:val="595959"/>
          <w:sz w:val="22"/>
          <w:szCs w:val="22"/>
        </w:rPr>
        <w:t>s forums d’accountability</w:t>
      </w:r>
      <w:r w:rsidR="00B3737F" w:rsidRPr="00166C99">
        <w:rPr>
          <w:rFonts w:ascii="Calibri" w:hAnsi="Calibri" w:cs="Calibri"/>
          <w:color w:val="595959"/>
          <w:sz w:val="22"/>
          <w:szCs w:val="22"/>
        </w:rPr>
        <w:t xml:space="preserve"> se sont multipliés</w:t>
      </w:r>
      <w:r w:rsidR="00515CD1" w:rsidRPr="00166C99">
        <w:rPr>
          <w:rFonts w:ascii="Calibri" w:hAnsi="Calibri" w:cs="Calibri"/>
          <w:color w:val="595959"/>
          <w:sz w:val="22"/>
          <w:szCs w:val="22"/>
        </w:rPr>
        <w:t xml:space="preserve"> dans l’UE</w:t>
      </w:r>
      <w:r w:rsidR="00040F2F" w:rsidRPr="00166C99">
        <w:rPr>
          <w:rFonts w:ascii="Calibri" w:hAnsi="Calibri" w:cs="Calibri"/>
          <w:color w:val="595959"/>
          <w:sz w:val="22"/>
          <w:szCs w:val="22"/>
        </w:rPr>
        <w:t xml:space="preserve">. Elle </w:t>
      </w:r>
      <w:r w:rsidR="00CB5CFB" w:rsidRPr="00166C99">
        <w:rPr>
          <w:rFonts w:ascii="Calibri" w:hAnsi="Calibri" w:cs="Calibri"/>
          <w:color w:val="595959"/>
          <w:sz w:val="22"/>
          <w:szCs w:val="22"/>
        </w:rPr>
        <w:t>identifie 4 tendances dans l’émergence des watchdog institutions</w:t>
      </w:r>
      <w:r w:rsidR="00801C1C">
        <w:rPr>
          <w:rFonts w:ascii="Calibri" w:hAnsi="Calibri" w:cs="Calibri"/>
          <w:color w:val="595959"/>
          <w:sz w:val="22"/>
          <w:szCs w:val="22"/>
        </w:rPr>
        <w:t xml:space="preserve"> dans l’UE</w:t>
      </w:r>
      <w:r w:rsidR="00040F2F" w:rsidRPr="00166C99">
        <w:rPr>
          <w:rFonts w:ascii="Calibri" w:hAnsi="Calibri" w:cs="Calibri"/>
          <w:color w:val="595959"/>
          <w:sz w:val="22"/>
          <w:szCs w:val="22"/>
        </w:rPr>
        <w:t xml:space="preserve">: </w:t>
      </w:r>
    </w:p>
    <w:p w14:paraId="39EDCAB7" w14:textId="77777777" w:rsidR="00040F2F" w:rsidRPr="00166C99" w:rsidRDefault="00DB2951" w:rsidP="00166C99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  <w:color w:val="595959"/>
          <w:sz w:val="22"/>
          <w:szCs w:val="22"/>
        </w:rPr>
      </w:pPr>
      <w:r w:rsidRPr="00166C99">
        <w:rPr>
          <w:rFonts w:ascii="Calibri" w:hAnsi="Calibri" w:cs="Calibri"/>
          <w:color w:val="595959"/>
          <w:sz w:val="22"/>
          <w:szCs w:val="22"/>
        </w:rPr>
        <w:t xml:space="preserve">Superposition et épaississement des mécanismes d’accountability et de supervision </w:t>
      </w:r>
    </w:p>
    <w:p w14:paraId="540BCD72" w14:textId="2C9C800E" w:rsidR="00040F2F" w:rsidRPr="00166C99" w:rsidRDefault="00856BC0" w:rsidP="00166C99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  <w:color w:val="595959"/>
          <w:sz w:val="22"/>
          <w:szCs w:val="22"/>
        </w:rPr>
      </w:pPr>
      <w:r w:rsidRPr="00166C99">
        <w:rPr>
          <w:rFonts w:ascii="Calibri" w:hAnsi="Calibri" w:cs="Calibri"/>
          <w:color w:val="595959"/>
          <w:sz w:val="22"/>
          <w:szCs w:val="22"/>
        </w:rPr>
        <w:t>Politisation</w:t>
      </w:r>
      <w:r w:rsidR="00714B3A" w:rsidRPr="00166C99">
        <w:rPr>
          <w:rFonts w:ascii="Calibri" w:hAnsi="Calibri" w:cs="Calibri"/>
          <w:color w:val="595959"/>
          <w:sz w:val="22"/>
          <w:szCs w:val="22"/>
        </w:rPr>
        <w:t xml:space="preserve"> (résoudre le déficit démocratique)</w:t>
      </w:r>
      <w:r w:rsidRPr="00166C99">
        <w:rPr>
          <w:rFonts w:ascii="Calibri" w:hAnsi="Calibri" w:cs="Calibri"/>
          <w:color w:val="595959"/>
          <w:sz w:val="22"/>
          <w:szCs w:val="22"/>
        </w:rPr>
        <w:t xml:space="preserve"> et dépolitisation</w:t>
      </w:r>
      <w:r w:rsidR="00714B3A" w:rsidRPr="00166C99">
        <w:rPr>
          <w:rFonts w:ascii="Calibri" w:hAnsi="Calibri" w:cs="Calibri"/>
          <w:color w:val="595959"/>
          <w:sz w:val="22"/>
          <w:szCs w:val="22"/>
        </w:rPr>
        <w:t xml:space="preserve"> (en dehors de la sphère parlementaire</w:t>
      </w:r>
      <w:r w:rsidR="00D254C8" w:rsidRPr="00166C99">
        <w:rPr>
          <w:rFonts w:ascii="Calibri" w:hAnsi="Calibri" w:cs="Calibri"/>
          <w:color w:val="595959"/>
          <w:sz w:val="22"/>
          <w:szCs w:val="22"/>
        </w:rPr>
        <w:t>, watchdogs non majoritaires</w:t>
      </w:r>
      <w:r w:rsidR="00714B3A" w:rsidRPr="00166C99">
        <w:rPr>
          <w:rFonts w:ascii="Calibri" w:hAnsi="Calibri" w:cs="Calibri"/>
          <w:color w:val="595959"/>
          <w:sz w:val="22"/>
          <w:szCs w:val="22"/>
        </w:rPr>
        <w:t>)</w:t>
      </w:r>
      <w:r w:rsidRPr="00166C99">
        <w:rPr>
          <w:rFonts w:ascii="Calibri" w:hAnsi="Calibri" w:cs="Calibri"/>
          <w:color w:val="595959"/>
          <w:sz w:val="22"/>
          <w:szCs w:val="22"/>
        </w:rPr>
        <w:t xml:space="preserve"> des arrangements d’accountability </w:t>
      </w:r>
    </w:p>
    <w:p w14:paraId="35AA1158" w14:textId="0E505EE2" w:rsidR="00040F2F" w:rsidRPr="00166C99" w:rsidRDefault="00F048C1" w:rsidP="00166C99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  <w:color w:val="595959"/>
          <w:sz w:val="22"/>
          <w:szCs w:val="22"/>
        </w:rPr>
      </w:pPr>
      <w:r w:rsidRPr="00166C99">
        <w:rPr>
          <w:rFonts w:ascii="Calibri" w:hAnsi="Calibri" w:cs="Calibri"/>
          <w:color w:val="595959"/>
          <w:sz w:val="22"/>
          <w:szCs w:val="22"/>
        </w:rPr>
        <w:t>Hybridation des logiques d’évolution et de design de l’architecture d’accountability</w:t>
      </w:r>
      <w:r w:rsidR="00FA138E" w:rsidRPr="00166C99">
        <w:rPr>
          <w:rFonts w:ascii="Calibri" w:hAnsi="Calibri" w:cs="Calibri"/>
          <w:color w:val="595959"/>
          <w:sz w:val="22"/>
          <w:szCs w:val="22"/>
        </w:rPr>
        <w:t xml:space="preserve"> :il n’y pas une seule logique dans la mise en place de mécanismes d’accountability (ex : </w:t>
      </w:r>
      <w:r w:rsidR="00172AFF" w:rsidRPr="00166C99">
        <w:rPr>
          <w:rFonts w:ascii="Calibri" w:hAnsi="Calibri" w:cs="Calibri"/>
          <w:color w:val="595959"/>
          <w:sz w:val="22"/>
          <w:szCs w:val="22"/>
        </w:rPr>
        <w:t xml:space="preserve">logique </w:t>
      </w:r>
      <w:r w:rsidR="00FA138E" w:rsidRPr="00166C99">
        <w:rPr>
          <w:rFonts w:ascii="Calibri" w:hAnsi="Calibri" w:cs="Calibri"/>
          <w:color w:val="595959"/>
          <w:sz w:val="22"/>
          <w:szCs w:val="22"/>
        </w:rPr>
        <w:t>supranational</w:t>
      </w:r>
      <w:r w:rsidR="00172AFF" w:rsidRPr="00166C99">
        <w:rPr>
          <w:rFonts w:ascii="Calibri" w:hAnsi="Calibri" w:cs="Calibri"/>
          <w:color w:val="595959"/>
          <w:sz w:val="22"/>
          <w:szCs w:val="22"/>
        </w:rPr>
        <w:t>e</w:t>
      </w:r>
      <w:r w:rsidR="00FA138E" w:rsidRPr="00166C99">
        <w:rPr>
          <w:rFonts w:ascii="Calibri" w:hAnsi="Calibri" w:cs="Calibri"/>
          <w:color w:val="595959"/>
          <w:sz w:val="22"/>
          <w:szCs w:val="22"/>
        </w:rPr>
        <w:t xml:space="preserve"> versus intergouvern</w:t>
      </w:r>
      <w:r w:rsidR="003634B8" w:rsidRPr="00166C99">
        <w:rPr>
          <w:rFonts w:ascii="Calibri" w:hAnsi="Calibri" w:cs="Calibri"/>
          <w:color w:val="595959"/>
          <w:sz w:val="22"/>
          <w:szCs w:val="22"/>
        </w:rPr>
        <w:t>e</w:t>
      </w:r>
      <w:r w:rsidR="00FA138E" w:rsidRPr="00166C99">
        <w:rPr>
          <w:rFonts w:ascii="Calibri" w:hAnsi="Calibri" w:cs="Calibri"/>
          <w:color w:val="595959"/>
          <w:sz w:val="22"/>
          <w:szCs w:val="22"/>
        </w:rPr>
        <w:t>mental</w:t>
      </w:r>
      <w:r w:rsidR="00172AFF" w:rsidRPr="00166C99">
        <w:rPr>
          <w:rFonts w:ascii="Calibri" w:hAnsi="Calibri" w:cs="Calibri"/>
          <w:color w:val="595959"/>
          <w:sz w:val="22"/>
          <w:szCs w:val="22"/>
        </w:rPr>
        <w:t>e</w:t>
      </w:r>
      <w:r w:rsidR="00FA138E" w:rsidRPr="00166C99">
        <w:rPr>
          <w:rFonts w:ascii="Calibri" w:hAnsi="Calibri" w:cs="Calibri"/>
          <w:color w:val="595959"/>
          <w:sz w:val="22"/>
          <w:szCs w:val="22"/>
        </w:rPr>
        <w:t>)</w:t>
      </w:r>
      <w:r w:rsidR="00FB1131" w:rsidRPr="00166C99">
        <w:rPr>
          <w:rFonts w:ascii="Calibri" w:hAnsi="Calibri" w:cs="Calibri"/>
          <w:color w:val="595959"/>
          <w:sz w:val="22"/>
          <w:szCs w:val="22"/>
        </w:rPr>
        <w:t xml:space="preserve">. </w:t>
      </w:r>
      <w:r w:rsidR="00E34E87" w:rsidRPr="00166C99">
        <w:rPr>
          <w:rFonts w:ascii="Calibri" w:hAnsi="Calibri" w:cs="Calibri"/>
          <w:color w:val="595959"/>
          <w:sz w:val="22"/>
          <w:szCs w:val="22"/>
        </w:rPr>
        <w:t xml:space="preserve">La </w:t>
      </w:r>
      <w:r w:rsidR="00614721" w:rsidRPr="00166C99">
        <w:rPr>
          <w:rFonts w:ascii="Calibri" w:hAnsi="Calibri" w:cs="Calibri"/>
          <w:color w:val="595959"/>
          <w:sz w:val="22"/>
          <w:szCs w:val="22"/>
        </w:rPr>
        <w:t xml:space="preserve">nature complexe et multiniveau des structures de gouvernance européennes résulte en un ensemble diversifié de relations et mécanismes d'accountability opérant au niveau européen, national et infranational. </w:t>
      </w:r>
    </w:p>
    <w:p w14:paraId="46908B9B" w14:textId="1344136E" w:rsidR="00F23A0F" w:rsidRPr="00166C99" w:rsidRDefault="00F23A0F" w:rsidP="00166C99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  <w:color w:val="595959"/>
          <w:sz w:val="22"/>
          <w:szCs w:val="22"/>
        </w:rPr>
      </w:pPr>
      <w:r w:rsidRPr="00166C99">
        <w:rPr>
          <w:rFonts w:ascii="Calibri" w:hAnsi="Calibri" w:cs="Calibri"/>
          <w:color w:val="595959"/>
          <w:sz w:val="22"/>
          <w:szCs w:val="22"/>
        </w:rPr>
        <w:t xml:space="preserve">Les institutions watchdog ont </w:t>
      </w:r>
      <w:r w:rsidR="00274E02" w:rsidRPr="00166C99">
        <w:rPr>
          <w:rFonts w:ascii="Calibri" w:hAnsi="Calibri" w:cs="Calibri"/>
          <w:color w:val="595959"/>
          <w:sz w:val="22"/>
          <w:szCs w:val="22"/>
        </w:rPr>
        <w:t xml:space="preserve">travaillé pour construire leur mandat et influencer l’évolution de l’architecture d’accountability dans l’UE. </w:t>
      </w:r>
    </w:p>
    <w:p w14:paraId="3BBD5DE6" w14:textId="39FEC810" w:rsidR="00B3737F" w:rsidRPr="00166C99" w:rsidRDefault="00B3737F" w:rsidP="00166C99">
      <w:pPr>
        <w:pStyle w:val="Subtitle"/>
        <w:jc w:val="both"/>
        <w:rPr>
          <w:rFonts w:eastAsia="Times New Roman"/>
          <w:kern w:val="0"/>
          <w:u w:val="single"/>
          <w:lang w:eastAsia="fr-FR"/>
          <w14:ligatures w14:val="none"/>
        </w:rPr>
      </w:pPr>
      <w:r w:rsidRPr="00166C99">
        <w:rPr>
          <w:u w:val="single"/>
        </w:rPr>
        <w:t xml:space="preserve">IV. Les challenges pour une ‘accountable governance’ dans l’UE </w:t>
      </w:r>
    </w:p>
    <w:p w14:paraId="0540885C" w14:textId="2CA4115A" w:rsidR="00040F2F" w:rsidRPr="00166C99" w:rsidRDefault="00CE403B" w:rsidP="00166C99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  <w:color w:val="595959"/>
          <w:sz w:val="22"/>
          <w:szCs w:val="22"/>
        </w:rPr>
      </w:pPr>
      <w:r w:rsidRPr="00166C99">
        <w:rPr>
          <w:rFonts w:ascii="Calibri" w:hAnsi="Calibri" w:cs="Calibri"/>
          <w:color w:val="595959"/>
          <w:sz w:val="22"/>
          <w:szCs w:val="22"/>
        </w:rPr>
        <w:t>Trop de mains (agents de l’exécutifs), trop de yeux (watchdogs), trop de niveaux</w:t>
      </w:r>
      <w:r w:rsidR="00172AFF" w:rsidRPr="00166C99">
        <w:rPr>
          <w:rFonts w:ascii="Calibri" w:hAnsi="Calibri" w:cs="Calibri"/>
          <w:color w:val="595959"/>
          <w:sz w:val="22"/>
          <w:szCs w:val="22"/>
        </w:rPr>
        <w:t xml:space="preserve"> ( l’UE est un ‘marble cake’)</w:t>
      </w:r>
      <w:r w:rsidR="00B840A3" w:rsidRPr="00166C99">
        <w:rPr>
          <w:rFonts w:ascii="Calibri" w:hAnsi="Calibri" w:cs="Calibri"/>
          <w:color w:val="595959"/>
          <w:sz w:val="22"/>
          <w:szCs w:val="22"/>
        </w:rPr>
        <w:t> : il est difficile de savoir à qui l’on doit rendre des comptes,</w:t>
      </w:r>
      <w:r w:rsidR="00364F35" w:rsidRPr="00166C99">
        <w:rPr>
          <w:rFonts w:ascii="Calibri" w:hAnsi="Calibri" w:cs="Calibri"/>
          <w:color w:val="595959"/>
          <w:sz w:val="22"/>
          <w:szCs w:val="22"/>
        </w:rPr>
        <w:t xml:space="preserve"> les systèmes multiniveaux</w:t>
      </w:r>
      <w:r w:rsidR="00B840A3" w:rsidRPr="00166C99">
        <w:rPr>
          <w:rFonts w:ascii="Calibri" w:hAnsi="Calibri" w:cs="Calibri"/>
          <w:color w:val="595959"/>
          <w:sz w:val="22"/>
          <w:szCs w:val="22"/>
        </w:rPr>
        <w:t xml:space="preserve"> floute</w:t>
      </w:r>
      <w:r w:rsidR="00364F35" w:rsidRPr="00166C99">
        <w:rPr>
          <w:rFonts w:ascii="Calibri" w:hAnsi="Calibri" w:cs="Calibri"/>
          <w:color w:val="595959"/>
          <w:sz w:val="22"/>
          <w:szCs w:val="22"/>
        </w:rPr>
        <w:t>nt</w:t>
      </w:r>
      <w:r w:rsidR="00B840A3" w:rsidRPr="00166C99">
        <w:rPr>
          <w:rFonts w:ascii="Calibri" w:hAnsi="Calibri" w:cs="Calibri"/>
          <w:color w:val="595959"/>
          <w:sz w:val="22"/>
          <w:szCs w:val="22"/>
        </w:rPr>
        <w:t xml:space="preserve"> les </w:t>
      </w:r>
      <w:r w:rsidR="00364F35" w:rsidRPr="00166C99">
        <w:rPr>
          <w:rFonts w:ascii="Calibri" w:hAnsi="Calibri" w:cs="Calibri"/>
          <w:color w:val="595959"/>
          <w:sz w:val="22"/>
          <w:szCs w:val="22"/>
        </w:rPr>
        <w:t>lignes de responsabilité et d’autorité</w:t>
      </w:r>
      <w:r w:rsidR="00040F2F" w:rsidRPr="00166C99">
        <w:rPr>
          <w:rFonts w:ascii="Calibri" w:hAnsi="Calibri" w:cs="Calibri"/>
          <w:color w:val="595959"/>
          <w:sz w:val="22"/>
          <w:szCs w:val="22"/>
        </w:rPr>
        <w:t>.</w:t>
      </w:r>
    </w:p>
    <w:p w14:paraId="380F014F" w14:textId="77777777" w:rsidR="00040F2F" w:rsidRPr="00166C99" w:rsidRDefault="00364F35" w:rsidP="00166C99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  <w:color w:val="595959"/>
          <w:sz w:val="22"/>
          <w:szCs w:val="22"/>
        </w:rPr>
      </w:pPr>
      <w:r w:rsidRPr="00166C99">
        <w:rPr>
          <w:rFonts w:ascii="Calibri" w:hAnsi="Calibri" w:cs="Calibri"/>
          <w:color w:val="595959"/>
          <w:sz w:val="22"/>
          <w:szCs w:val="22"/>
        </w:rPr>
        <w:t xml:space="preserve">‘Soft accountability’ : une accountability sans sanctions </w:t>
      </w:r>
      <w:r w:rsidR="00DC73E7" w:rsidRPr="00166C99">
        <w:rPr>
          <w:rFonts w:ascii="Calibri" w:hAnsi="Calibri" w:cs="Calibri"/>
          <w:color w:val="595959"/>
          <w:sz w:val="22"/>
          <w:szCs w:val="22"/>
        </w:rPr>
        <w:t>et les potentiels effets de group think s</w:t>
      </w:r>
      <w:r w:rsidR="00EE20BE" w:rsidRPr="00166C99">
        <w:rPr>
          <w:rFonts w:ascii="Calibri" w:hAnsi="Calibri" w:cs="Calibri"/>
          <w:color w:val="595959"/>
          <w:sz w:val="22"/>
          <w:szCs w:val="22"/>
        </w:rPr>
        <w:t>’il n’y a pas une autonomie des watchdogs</w:t>
      </w:r>
    </w:p>
    <w:p w14:paraId="0574B03C" w14:textId="2BDB66BA" w:rsidR="00040F2F" w:rsidRPr="00166C99" w:rsidRDefault="00EF5394" w:rsidP="00166C99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  <w:color w:val="595959"/>
          <w:sz w:val="22"/>
          <w:szCs w:val="22"/>
        </w:rPr>
      </w:pPr>
      <w:r w:rsidRPr="00166C99">
        <w:rPr>
          <w:rFonts w:ascii="Calibri" w:hAnsi="Calibri" w:cs="Calibri"/>
          <w:color w:val="595959"/>
          <w:sz w:val="22"/>
          <w:szCs w:val="22"/>
        </w:rPr>
        <w:t>Qui surveille les watchdog</w:t>
      </w:r>
      <w:r w:rsidR="00775F92" w:rsidRPr="00166C99">
        <w:rPr>
          <w:rFonts w:ascii="Calibri" w:hAnsi="Calibri" w:cs="Calibri"/>
          <w:color w:val="595959"/>
          <w:sz w:val="22"/>
          <w:szCs w:val="22"/>
        </w:rPr>
        <w:t xml:space="preserve">s, et en particulier </w:t>
      </w:r>
      <w:r w:rsidR="006174DD" w:rsidRPr="00166C99">
        <w:rPr>
          <w:rFonts w:ascii="Calibri" w:hAnsi="Calibri" w:cs="Calibri"/>
          <w:color w:val="595959"/>
          <w:sz w:val="22"/>
          <w:szCs w:val="22"/>
        </w:rPr>
        <w:t>les watchdogs non majoritaires qui ne sont pas ‘accountable’ aux citoyens</w:t>
      </w:r>
      <w:r w:rsidRPr="00166C99">
        <w:rPr>
          <w:rFonts w:ascii="Calibri" w:hAnsi="Calibri" w:cs="Calibri"/>
          <w:color w:val="595959"/>
          <w:sz w:val="22"/>
          <w:szCs w:val="22"/>
        </w:rPr>
        <w:t xml:space="preserve"> ? </w:t>
      </w:r>
      <w:r w:rsidR="003634B8" w:rsidRPr="00166C99">
        <w:rPr>
          <w:rFonts w:ascii="Calibri" w:hAnsi="Calibri" w:cs="Calibri"/>
          <w:color w:val="595959"/>
          <w:sz w:val="22"/>
          <w:szCs w:val="22"/>
        </w:rPr>
        <w:t xml:space="preserve">Les </w:t>
      </w:r>
      <w:r w:rsidR="006174DD" w:rsidRPr="00166C99">
        <w:rPr>
          <w:rFonts w:ascii="Calibri" w:hAnsi="Calibri" w:cs="Calibri"/>
          <w:color w:val="595959"/>
          <w:sz w:val="22"/>
          <w:szCs w:val="22"/>
        </w:rPr>
        <w:t>experts sont eux-aussi faillibles.</w:t>
      </w:r>
    </w:p>
    <w:p w14:paraId="6A85C755" w14:textId="265B78DC" w:rsidR="00F665A7" w:rsidRPr="00166C99" w:rsidRDefault="00B019DF" w:rsidP="00166C99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  <w:color w:val="595959"/>
          <w:sz w:val="22"/>
          <w:szCs w:val="22"/>
        </w:rPr>
      </w:pPr>
      <w:r w:rsidRPr="00166C99">
        <w:rPr>
          <w:rFonts w:ascii="Calibri" w:hAnsi="Calibri" w:cs="Calibri"/>
          <w:color w:val="595959"/>
          <w:sz w:val="22"/>
          <w:szCs w:val="22"/>
        </w:rPr>
        <w:lastRenderedPageBreak/>
        <w:t xml:space="preserve">L’ancrage démocratique de l’architecture d’accountability : </w:t>
      </w:r>
      <w:r w:rsidR="00A63446" w:rsidRPr="00166C99">
        <w:rPr>
          <w:rFonts w:ascii="Calibri" w:hAnsi="Calibri" w:cs="Calibri"/>
          <w:color w:val="595959"/>
          <w:sz w:val="22"/>
          <w:szCs w:val="22"/>
        </w:rPr>
        <w:t xml:space="preserve">créer des arrangements d’accountability </w:t>
      </w:r>
      <w:r w:rsidR="008C060F" w:rsidRPr="00166C99">
        <w:rPr>
          <w:rFonts w:ascii="Calibri" w:hAnsi="Calibri" w:cs="Calibri"/>
          <w:color w:val="595959"/>
          <w:sz w:val="22"/>
          <w:szCs w:val="22"/>
        </w:rPr>
        <w:t>qui sont démocratiquement légitimes</w:t>
      </w:r>
      <w:r w:rsidR="0089513E" w:rsidRPr="00166C99">
        <w:rPr>
          <w:rFonts w:ascii="Calibri" w:hAnsi="Calibri" w:cs="Calibri"/>
          <w:color w:val="595959"/>
          <w:sz w:val="22"/>
          <w:szCs w:val="22"/>
        </w:rPr>
        <w:t xml:space="preserve"> et où les policy makers sont rendus ‘accountable’ puisque les administrations opèrent de manière plus distante des institutions politiques et démocratiques afin d’</w:t>
      </w:r>
      <w:r w:rsidR="003022C0">
        <w:rPr>
          <w:rFonts w:ascii="Calibri" w:hAnsi="Calibri" w:cs="Calibri"/>
          <w:color w:val="595959"/>
          <w:sz w:val="22"/>
          <w:szCs w:val="22"/>
        </w:rPr>
        <w:t>ê</w:t>
      </w:r>
      <w:r w:rsidR="0089513E" w:rsidRPr="00166C99">
        <w:rPr>
          <w:rFonts w:ascii="Calibri" w:hAnsi="Calibri" w:cs="Calibri"/>
          <w:color w:val="595959"/>
          <w:sz w:val="22"/>
          <w:szCs w:val="22"/>
        </w:rPr>
        <w:t xml:space="preserve">tre moins sensibles </w:t>
      </w:r>
      <w:r w:rsidR="00F02239" w:rsidRPr="00166C99">
        <w:rPr>
          <w:rFonts w:ascii="Calibri" w:hAnsi="Calibri" w:cs="Calibri"/>
          <w:color w:val="595959"/>
          <w:sz w:val="22"/>
          <w:szCs w:val="22"/>
        </w:rPr>
        <w:t xml:space="preserve">aux demandes </w:t>
      </w:r>
      <w:r w:rsidR="003022C0">
        <w:rPr>
          <w:rFonts w:ascii="Calibri" w:hAnsi="Calibri" w:cs="Calibri"/>
          <w:color w:val="595959"/>
          <w:sz w:val="22"/>
          <w:szCs w:val="22"/>
        </w:rPr>
        <w:t>à</w:t>
      </w:r>
      <w:r w:rsidR="00F02239" w:rsidRPr="00166C99">
        <w:rPr>
          <w:rFonts w:ascii="Calibri" w:hAnsi="Calibri" w:cs="Calibri"/>
          <w:color w:val="595959"/>
          <w:sz w:val="22"/>
          <w:szCs w:val="22"/>
        </w:rPr>
        <w:t xml:space="preserve"> court terme. </w:t>
      </w:r>
    </w:p>
    <w:p w14:paraId="6340988C" w14:textId="0FA3D0E7" w:rsidR="00FD7A0C" w:rsidRPr="00166C99" w:rsidRDefault="00FD7A0C" w:rsidP="00166C99">
      <w:pPr>
        <w:pStyle w:val="NormalWeb"/>
        <w:jc w:val="both"/>
        <w:rPr>
          <w:rFonts w:ascii="Calibri" w:hAnsi="Calibri" w:cs="Calibri"/>
          <w:b/>
          <w:bCs/>
          <w:color w:val="595959"/>
          <w:sz w:val="22"/>
          <w:szCs w:val="22"/>
          <w:u w:val="single"/>
        </w:rPr>
      </w:pPr>
      <w:r w:rsidRPr="00166C99">
        <w:rPr>
          <w:rFonts w:ascii="Calibri" w:hAnsi="Calibri" w:cs="Calibri"/>
          <w:b/>
          <w:bCs/>
          <w:color w:val="595959"/>
          <w:sz w:val="22"/>
          <w:szCs w:val="22"/>
          <w:u w:val="single"/>
        </w:rPr>
        <w:t>Résultat</w:t>
      </w:r>
      <w:r w:rsidR="000032CF" w:rsidRPr="00166C99">
        <w:rPr>
          <w:rFonts w:ascii="Calibri" w:hAnsi="Calibri" w:cs="Calibri"/>
          <w:b/>
          <w:bCs/>
          <w:color w:val="595959"/>
          <w:sz w:val="22"/>
          <w:szCs w:val="22"/>
          <w:u w:val="single"/>
        </w:rPr>
        <w:t xml:space="preserve"> et points</w:t>
      </w:r>
      <w:r w:rsidR="003634B8" w:rsidRPr="00166C99">
        <w:rPr>
          <w:rFonts w:ascii="Calibri" w:hAnsi="Calibri" w:cs="Calibri"/>
          <w:b/>
          <w:bCs/>
          <w:color w:val="595959"/>
          <w:sz w:val="22"/>
          <w:szCs w:val="22"/>
          <w:u w:val="single"/>
        </w:rPr>
        <w:t xml:space="preserve"> notables</w:t>
      </w:r>
      <w:r w:rsidRPr="00166C99">
        <w:rPr>
          <w:rFonts w:ascii="Calibri" w:hAnsi="Calibri" w:cs="Calibri"/>
          <w:b/>
          <w:bCs/>
          <w:color w:val="595959"/>
          <w:sz w:val="22"/>
          <w:szCs w:val="22"/>
          <w:u w:val="single"/>
        </w:rPr>
        <w:t> :</w:t>
      </w:r>
    </w:p>
    <w:p w14:paraId="714BBF68" w14:textId="5B11434B" w:rsidR="003634B8" w:rsidRPr="00166C99" w:rsidRDefault="0073367F" w:rsidP="00166C99">
      <w:pPr>
        <w:pStyle w:val="NormalWeb"/>
        <w:numPr>
          <w:ilvl w:val="0"/>
          <w:numId w:val="20"/>
        </w:numPr>
        <w:jc w:val="both"/>
        <w:rPr>
          <w:rFonts w:ascii="Calibri" w:hAnsi="Calibri" w:cs="Calibri"/>
          <w:color w:val="595959"/>
          <w:sz w:val="22"/>
          <w:szCs w:val="22"/>
        </w:rPr>
      </w:pPr>
      <w:r w:rsidRPr="00166C99">
        <w:rPr>
          <w:rFonts w:ascii="Calibri" w:hAnsi="Calibri" w:cs="Calibri"/>
          <w:color w:val="595959"/>
          <w:sz w:val="22"/>
          <w:szCs w:val="22"/>
        </w:rPr>
        <w:t>L'attention portée sur accountability dans l'UE est le résultat d'un pouvoir administratif grandissant de l'exécutif européen</w:t>
      </w:r>
      <w:r w:rsidR="00147CA2" w:rsidRPr="00166C99">
        <w:rPr>
          <w:rFonts w:ascii="Calibri" w:hAnsi="Calibri" w:cs="Calibri"/>
          <w:color w:val="595959"/>
          <w:sz w:val="22"/>
          <w:szCs w:val="22"/>
        </w:rPr>
        <w:t>. Rendre le pouvoir exécutif ‘accountable’ est essentiel pour les systèmes démocratiques</w:t>
      </w:r>
      <w:r w:rsidR="005F4AA7" w:rsidRPr="00166C99">
        <w:rPr>
          <w:rFonts w:ascii="Calibri" w:hAnsi="Calibri" w:cs="Calibri"/>
          <w:color w:val="595959"/>
          <w:sz w:val="22"/>
          <w:szCs w:val="22"/>
        </w:rPr>
        <w:t>.</w:t>
      </w:r>
    </w:p>
    <w:p w14:paraId="2923B63F" w14:textId="28A3CD05" w:rsidR="003634B8" w:rsidRPr="00166C99" w:rsidRDefault="009E067F" w:rsidP="00166C99">
      <w:pPr>
        <w:pStyle w:val="NormalWeb"/>
        <w:numPr>
          <w:ilvl w:val="0"/>
          <w:numId w:val="20"/>
        </w:numPr>
        <w:jc w:val="both"/>
        <w:rPr>
          <w:rFonts w:asciiTheme="majorHAnsi" w:eastAsiaTheme="majorEastAsia" w:hAnsiTheme="majorHAnsi" w:cstheme="majorBidi"/>
          <w:color w:val="2F5496" w:themeColor="accent1" w:themeShade="BF"/>
          <w:kern w:val="2"/>
          <w:sz w:val="22"/>
          <w:szCs w:val="22"/>
          <w:u w:val="single"/>
          <w:lang w:eastAsia="en-US"/>
          <w14:ligatures w14:val="standardContextual"/>
        </w:rPr>
      </w:pPr>
      <w:r w:rsidRPr="00166C99">
        <w:rPr>
          <w:rFonts w:ascii="Calibri" w:hAnsi="Calibri" w:cs="Calibri"/>
          <w:color w:val="595959"/>
          <w:sz w:val="22"/>
          <w:szCs w:val="22"/>
        </w:rPr>
        <w:t xml:space="preserve">Il n’y a pas de solution claire sur pour le problème d'accountability dans un système de 'gâteau marbré' avec différents niveaux et échelles, à la fois supranational et intergouvernmental. </w:t>
      </w:r>
      <w:r w:rsidR="00DB2951" w:rsidRPr="00166C99">
        <w:rPr>
          <w:rFonts w:ascii="Calibri" w:hAnsi="Calibri" w:cs="Calibri"/>
          <w:color w:val="595959"/>
          <w:sz w:val="22"/>
          <w:szCs w:val="22"/>
        </w:rPr>
        <w:t>Les mécanismes d'accountability sont différent de ceux au niveau national. Les mécanismes multiniveaux diffus génèrent l'impression d'un pouvoir administratif incontrôlé et débridé d’eurocrates inélus.</w:t>
      </w:r>
    </w:p>
    <w:p w14:paraId="0FDAF458" w14:textId="746382F4" w:rsidR="003634B8" w:rsidRPr="00166C99" w:rsidRDefault="00F82543" w:rsidP="00166C99">
      <w:pPr>
        <w:pStyle w:val="NormalWeb"/>
        <w:numPr>
          <w:ilvl w:val="0"/>
          <w:numId w:val="20"/>
        </w:numPr>
        <w:jc w:val="both"/>
        <w:rPr>
          <w:rFonts w:ascii="Calibri" w:hAnsi="Calibri" w:cs="Calibri"/>
          <w:color w:val="595959"/>
          <w:sz w:val="22"/>
          <w:szCs w:val="22"/>
        </w:rPr>
      </w:pPr>
      <w:r w:rsidRPr="00166C99">
        <w:rPr>
          <w:rFonts w:ascii="Calibri" w:hAnsi="Calibri" w:cs="Calibri"/>
          <w:color w:val="595959"/>
          <w:sz w:val="22"/>
          <w:szCs w:val="22"/>
        </w:rPr>
        <w:t>L’émergence de watchdogs a contribué à la reconfiguration du système d’accountability dans l’UE.</w:t>
      </w:r>
      <w:r w:rsidR="00925BA7" w:rsidRPr="00166C99">
        <w:rPr>
          <w:rFonts w:ascii="Calibri" w:hAnsi="Calibri" w:cs="Calibri"/>
          <w:color w:val="595959"/>
          <w:sz w:val="22"/>
          <w:szCs w:val="22"/>
        </w:rPr>
        <w:t xml:space="preserve"> Mais, l</w:t>
      </w:r>
      <w:r w:rsidR="00C8065F" w:rsidRPr="00166C99">
        <w:rPr>
          <w:rFonts w:ascii="Calibri" w:hAnsi="Calibri" w:cs="Calibri"/>
          <w:color w:val="595959"/>
          <w:sz w:val="22"/>
          <w:szCs w:val="22"/>
        </w:rPr>
        <w:t xml:space="preserve">'évolution de différentes formes d'accountability </w:t>
      </w:r>
      <w:r w:rsidR="008F27A4" w:rsidRPr="00166C99">
        <w:rPr>
          <w:rFonts w:ascii="Calibri" w:hAnsi="Calibri" w:cs="Calibri"/>
          <w:color w:val="595959"/>
          <w:sz w:val="22"/>
          <w:szCs w:val="22"/>
        </w:rPr>
        <w:t>ainsi que</w:t>
      </w:r>
      <w:r w:rsidR="00C8065F" w:rsidRPr="00166C99">
        <w:rPr>
          <w:rFonts w:ascii="Calibri" w:hAnsi="Calibri" w:cs="Calibri"/>
          <w:color w:val="595959"/>
          <w:sz w:val="22"/>
          <w:szCs w:val="22"/>
        </w:rPr>
        <w:t xml:space="preserve"> la croissance et variété de watchdogs au niveau de l'UE rend le paysage plus difficile à cerner</w:t>
      </w:r>
      <w:r w:rsidR="00835371" w:rsidRPr="00166C99">
        <w:rPr>
          <w:rFonts w:ascii="Calibri" w:hAnsi="Calibri" w:cs="Calibri"/>
          <w:color w:val="595959"/>
          <w:sz w:val="22"/>
          <w:szCs w:val="22"/>
        </w:rPr>
        <w:t>, ce qui est problématique d’un point de vue démocratique</w:t>
      </w:r>
      <w:r w:rsidR="008F27A4" w:rsidRPr="00166C99">
        <w:rPr>
          <w:rFonts w:ascii="Calibri" w:hAnsi="Calibri" w:cs="Calibri"/>
          <w:color w:val="595959"/>
          <w:sz w:val="22"/>
          <w:szCs w:val="22"/>
        </w:rPr>
        <w:t>.</w:t>
      </w:r>
    </w:p>
    <w:p w14:paraId="51760019" w14:textId="37F24094" w:rsidR="00C8065F" w:rsidRPr="00166C99" w:rsidRDefault="008F27A4" w:rsidP="00166C99">
      <w:pPr>
        <w:pStyle w:val="NormalWeb"/>
        <w:numPr>
          <w:ilvl w:val="0"/>
          <w:numId w:val="20"/>
        </w:numPr>
        <w:jc w:val="both"/>
        <w:rPr>
          <w:rFonts w:ascii="Calibri" w:hAnsi="Calibri" w:cs="Calibri"/>
          <w:color w:val="595959"/>
          <w:sz w:val="22"/>
          <w:szCs w:val="22"/>
        </w:rPr>
      </w:pPr>
      <w:r w:rsidRPr="00166C99">
        <w:rPr>
          <w:rFonts w:ascii="Calibri" w:hAnsi="Calibri" w:cs="Calibri"/>
          <w:color w:val="595959"/>
          <w:sz w:val="22"/>
          <w:szCs w:val="22"/>
        </w:rPr>
        <w:t xml:space="preserve">Cependant, les nouveaux forums et mécanismes d'accountability ont le potentiel de contribuer à la légitimité démocratique de l'UE s'ils génèrent des procédures d'accountability qui sont publiques et qui permettent </w:t>
      </w:r>
      <w:r w:rsidR="00775F92" w:rsidRPr="00166C99">
        <w:rPr>
          <w:rFonts w:ascii="Calibri" w:hAnsi="Calibri" w:cs="Calibri"/>
          <w:color w:val="595959"/>
          <w:sz w:val="22"/>
          <w:szCs w:val="22"/>
        </w:rPr>
        <w:t>aux</w:t>
      </w:r>
      <w:r w:rsidRPr="00166C99">
        <w:rPr>
          <w:rFonts w:ascii="Calibri" w:hAnsi="Calibri" w:cs="Calibri"/>
          <w:color w:val="595959"/>
          <w:sz w:val="22"/>
          <w:szCs w:val="22"/>
        </w:rPr>
        <w:t xml:space="preserve"> citoyens de rendre les policy makers accountable et responsables. </w:t>
      </w:r>
    </w:p>
    <w:p w14:paraId="19DB125C" w14:textId="77777777" w:rsidR="009E12F2" w:rsidRPr="00166C99" w:rsidRDefault="009E12F2" w:rsidP="00166C99">
      <w:pPr>
        <w:pStyle w:val="Heading2"/>
        <w:jc w:val="both"/>
        <w:rPr>
          <w:sz w:val="22"/>
          <w:szCs w:val="22"/>
          <w:u w:val="single"/>
        </w:rPr>
      </w:pPr>
    </w:p>
    <w:p w14:paraId="0EFAC5AC" w14:textId="1A91E538" w:rsidR="00E53008" w:rsidRPr="00166C99" w:rsidRDefault="00E53008" w:rsidP="00166C99">
      <w:pPr>
        <w:pStyle w:val="Heading2"/>
        <w:jc w:val="both"/>
        <w:rPr>
          <w:sz w:val="22"/>
          <w:szCs w:val="22"/>
          <w:u w:val="single"/>
        </w:rPr>
      </w:pPr>
      <w:r w:rsidRPr="00166C99">
        <w:rPr>
          <w:sz w:val="22"/>
          <w:szCs w:val="22"/>
          <w:u w:val="single"/>
        </w:rPr>
        <w:t xml:space="preserve">Méthode utilisée  </w:t>
      </w:r>
    </w:p>
    <w:p w14:paraId="2CE34F84" w14:textId="39445685" w:rsidR="00475167" w:rsidRPr="00166C99" w:rsidRDefault="00742141" w:rsidP="00166C99">
      <w:pPr>
        <w:pStyle w:val="NormalWeb"/>
        <w:jc w:val="both"/>
        <w:rPr>
          <w:rFonts w:ascii="Calibri" w:hAnsi="Calibri" w:cs="Calibri"/>
          <w:color w:val="595959"/>
          <w:sz w:val="22"/>
          <w:szCs w:val="22"/>
        </w:rPr>
      </w:pPr>
      <w:r w:rsidRPr="00166C99">
        <w:rPr>
          <w:rFonts w:ascii="Calibri" w:hAnsi="Calibri" w:cs="Calibri"/>
          <w:color w:val="595959"/>
          <w:sz w:val="22"/>
          <w:szCs w:val="22"/>
        </w:rPr>
        <w:t>L’auteure a utilisé une méthode de recherche qualitative, qui s’appuie sur les données de la littérature académique existante</w:t>
      </w:r>
      <w:r w:rsidR="00273DA7" w:rsidRPr="00166C99">
        <w:rPr>
          <w:rFonts w:ascii="Calibri" w:hAnsi="Calibri" w:cs="Calibri"/>
          <w:color w:val="595959"/>
          <w:sz w:val="22"/>
          <w:szCs w:val="22"/>
        </w:rPr>
        <w:t xml:space="preserve"> pour </w:t>
      </w:r>
      <w:r w:rsidR="00A96189" w:rsidRPr="00166C99">
        <w:rPr>
          <w:rFonts w:ascii="Calibri" w:hAnsi="Calibri" w:cs="Calibri"/>
          <w:color w:val="595959"/>
          <w:sz w:val="22"/>
          <w:szCs w:val="22"/>
        </w:rPr>
        <w:t xml:space="preserve">produire un état des lieux et une analyse </w:t>
      </w:r>
      <w:r w:rsidR="00273DA7" w:rsidRPr="00166C99">
        <w:rPr>
          <w:rFonts w:ascii="Calibri" w:hAnsi="Calibri" w:cs="Calibri"/>
          <w:color w:val="595959"/>
          <w:sz w:val="22"/>
          <w:szCs w:val="22"/>
        </w:rPr>
        <w:t>sur l</w:t>
      </w:r>
      <w:r w:rsidR="00165B84" w:rsidRPr="00166C99">
        <w:rPr>
          <w:rFonts w:ascii="Calibri" w:hAnsi="Calibri" w:cs="Calibri"/>
          <w:color w:val="595959"/>
          <w:sz w:val="22"/>
          <w:szCs w:val="22"/>
        </w:rPr>
        <w:t>a place des watchdogs dans le système d’accountability de l’UE</w:t>
      </w:r>
      <w:r w:rsidR="00B2700A" w:rsidRPr="00166C99">
        <w:rPr>
          <w:rFonts w:ascii="Calibri" w:hAnsi="Calibri" w:cs="Calibri"/>
          <w:color w:val="595959"/>
          <w:sz w:val="22"/>
          <w:szCs w:val="22"/>
        </w:rPr>
        <w:t>. Il n’y a pas de chiffres notables puisque la grande partie du contenu est théorique</w:t>
      </w:r>
      <w:r w:rsidR="00091F91" w:rsidRPr="00166C99">
        <w:rPr>
          <w:rFonts w:ascii="Calibri" w:hAnsi="Calibri" w:cs="Calibri"/>
          <w:color w:val="595959"/>
          <w:sz w:val="22"/>
          <w:szCs w:val="22"/>
        </w:rPr>
        <w:t xml:space="preserve"> ou descriptif</w:t>
      </w:r>
      <w:r w:rsidR="006E78CA" w:rsidRPr="00166C99">
        <w:rPr>
          <w:rFonts w:ascii="Calibri" w:hAnsi="Calibri" w:cs="Calibri"/>
          <w:color w:val="595959"/>
          <w:sz w:val="22"/>
          <w:szCs w:val="22"/>
        </w:rPr>
        <w:t xml:space="preserve"> et l’article ne s’appuie par sur des entretiens. </w:t>
      </w:r>
      <w:r w:rsidR="0058751D" w:rsidRPr="00166C99">
        <w:rPr>
          <w:rFonts w:ascii="Calibri" w:hAnsi="Calibri" w:cs="Calibri"/>
          <w:color w:val="595959"/>
          <w:sz w:val="22"/>
          <w:szCs w:val="22"/>
        </w:rPr>
        <w:t xml:space="preserve"> </w:t>
      </w:r>
    </w:p>
    <w:p w14:paraId="138F787D" w14:textId="6684DA89" w:rsidR="00DF27C7" w:rsidRPr="00166C99" w:rsidRDefault="000C1DD5" w:rsidP="00166C99">
      <w:pPr>
        <w:pStyle w:val="NormalWeb"/>
        <w:jc w:val="both"/>
        <w:rPr>
          <w:rFonts w:ascii="Calibri" w:hAnsi="Calibri" w:cs="Calibri"/>
          <w:color w:val="595959"/>
          <w:sz w:val="22"/>
          <w:szCs w:val="22"/>
        </w:rPr>
      </w:pPr>
      <w:r w:rsidRPr="00166C99">
        <w:rPr>
          <w:rFonts w:ascii="Calibri" w:hAnsi="Calibri" w:cs="Calibri"/>
          <w:color w:val="595959"/>
          <w:sz w:val="22"/>
          <w:szCs w:val="22"/>
        </w:rPr>
        <w:t xml:space="preserve"> </w:t>
      </w:r>
      <w:r w:rsidR="00647743" w:rsidRPr="00166C99">
        <w:rPr>
          <w:rFonts w:ascii="Calibri" w:hAnsi="Calibri" w:cs="Calibri"/>
          <w:color w:val="595959"/>
          <w:sz w:val="22"/>
          <w:szCs w:val="22"/>
        </w:rPr>
        <w:t>Wille</w:t>
      </w:r>
      <w:r w:rsidRPr="00166C99">
        <w:rPr>
          <w:rFonts w:ascii="Calibri" w:hAnsi="Calibri" w:cs="Calibri"/>
          <w:color w:val="595959"/>
          <w:sz w:val="22"/>
          <w:szCs w:val="22"/>
        </w:rPr>
        <w:t xml:space="preserve"> </w:t>
      </w:r>
      <w:r w:rsidR="004A4078" w:rsidRPr="00166C99">
        <w:rPr>
          <w:rFonts w:ascii="Calibri" w:hAnsi="Calibri" w:cs="Calibri"/>
          <w:color w:val="595959"/>
          <w:sz w:val="22"/>
          <w:szCs w:val="22"/>
        </w:rPr>
        <w:t xml:space="preserve">utilise des outils de grands débats </w:t>
      </w:r>
      <w:r w:rsidRPr="00166C99">
        <w:rPr>
          <w:rFonts w:ascii="Calibri" w:hAnsi="Calibri" w:cs="Calibri"/>
          <w:color w:val="595959"/>
          <w:sz w:val="22"/>
          <w:szCs w:val="22"/>
        </w:rPr>
        <w:t>théoriques</w:t>
      </w:r>
      <w:r w:rsidR="00FA7027" w:rsidRPr="00166C99">
        <w:rPr>
          <w:rFonts w:ascii="Calibri" w:hAnsi="Calibri" w:cs="Calibri"/>
          <w:color w:val="595959"/>
          <w:sz w:val="22"/>
          <w:szCs w:val="22"/>
        </w:rPr>
        <w:t xml:space="preserve"> de la littérature </w:t>
      </w:r>
      <w:r w:rsidR="001B2739" w:rsidRPr="00166C99">
        <w:rPr>
          <w:rFonts w:ascii="Calibri" w:hAnsi="Calibri" w:cs="Calibri"/>
          <w:color w:val="595959"/>
          <w:sz w:val="22"/>
          <w:szCs w:val="22"/>
        </w:rPr>
        <w:t>de science politique de l’UE</w:t>
      </w:r>
      <w:r w:rsidR="00475167" w:rsidRPr="00166C99">
        <w:rPr>
          <w:rFonts w:ascii="Calibri" w:hAnsi="Calibri" w:cs="Calibri"/>
          <w:color w:val="595959"/>
          <w:sz w:val="22"/>
          <w:szCs w:val="22"/>
        </w:rPr>
        <w:t xml:space="preserve">, combinant dans son analyse des questions sur la structure de gouvernance </w:t>
      </w:r>
      <w:r w:rsidR="00D2329D" w:rsidRPr="00166C99">
        <w:rPr>
          <w:rFonts w:ascii="Calibri" w:hAnsi="Calibri" w:cs="Calibri"/>
          <w:color w:val="595959"/>
          <w:sz w:val="22"/>
          <w:szCs w:val="22"/>
        </w:rPr>
        <w:t xml:space="preserve">et d’architecture </w:t>
      </w:r>
      <w:r w:rsidR="00475167" w:rsidRPr="00166C99">
        <w:rPr>
          <w:rFonts w:ascii="Calibri" w:hAnsi="Calibri" w:cs="Calibri"/>
          <w:color w:val="595959"/>
          <w:sz w:val="22"/>
          <w:szCs w:val="22"/>
        </w:rPr>
        <w:t xml:space="preserve">de l’Union Européenne </w:t>
      </w:r>
      <w:r w:rsidR="000334B7" w:rsidRPr="00166C99">
        <w:rPr>
          <w:rFonts w:ascii="Calibri" w:hAnsi="Calibri" w:cs="Calibri"/>
          <w:color w:val="595959"/>
          <w:sz w:val="22"/>
          <w:szCs w:val="22"/>
        </w:rPr>
        <w:t>ainsi que</w:t>
      </w:r>
      <w:r w:rsidR="00475167" w:rsidRPr="00166C99">
        <w:rPr>
          <w:rFonts w:ascii="Calibri" w:hAnsi="Calibri" w:cs="Calibri"/>
          <w:color w:val="595959"/>
          <w:sz w:val="22"/>
          <w:szCs w:val="22"/>
        </w:rPr>
        <w:t xml:space="preserve"> sur</w:t>
      </w:r>
      <w:r w:rsidR="006870D4" w:rsidRPr="00166C99">
        <w:rPr>
          <w:rFonts w:ascii="Calibri" w:hAnsi="Calibri" w:cs="Calibri"/>
          <w:color w:val="595959"/>
          <w:sz w:val="22"/>
          <w:szCs w:val="22"/>
        </w:rPr>
        <w:t xml:space="preserve"> la</w:t>
      </w:r>
      <w:r w:rsidR="00475167" w:rsidRPr="00166C99">
        <w:rPr>
          <w:rFonts w:ascii="Calibri" w:hAnsi="Calibri" w:cs="Calibri"/>
          <w:color w:val="595959"/>
          <w:sz w:val="22"/>
          <w:szCs w:val="22"/>
        </w:rPr>
        <w:t xml:space="preserve"> légitimité et le déficit démocratique de celle-ci. </w:t>
      </w:r>
    </w:p>
    <w:p w14:paraId="4D113FEE" w14:textId="2F7B7D65" w:rsidR="00475167" w:rsidRPr="00166C99" w:rsidRDefault="006870D4" w:rsidP="00166C99">
      <w:pPr>
        <w:pStyle w:val="NormalWeb"/>
        <w:jc w:val="both"/>
        <w:rPr>
          <w:rFonts w:ascii="Calibri" w:hAnsi="Calibri" w:cs="Calibri"/>
          <w:color w:val="595959"/>
          <w:sz w:val="22"/>
          <w:szCs w:val="22"/>
        </w:rPr>
      </w:pPr>
      <w:r w:rsidRPr="00166C99">
        <w:rPr>
          <w:rFonts w:ascii="Calibri" w:hAnsi="Calibri" w:cs="Calibri"/>
          <w:color w:val="595959"/>
          <w:sz w:val="22"/>
          <w:szCs w:val="22"/>
        </w:rPr>
        <w:t xml:space="preserve">Soit, </w:t>
      </w:r>
      <w:r w:rsidR="00890187" w:rsidRPr="00166C99">
        <w:rPr>
          <w:rFonts w:ascii="Calibri" w:hAnsi="Calibri" w:cs="Calibri"/>
          <w:color w:val="595959"/>
          <w:sz w:val="22"/>
          <w:szCs w:val="22"/>
        </w:rPr>
        <w:t xml:space="preserve">en regardant « the big picture » , </w:t>
      </w:r>
      <w:r w:rsidRPr="00166C99">
        <w:rPr>
          <w:rFonts w:ascii="Calibri" w:hAnsi="Calibri" w:cs="Calibri"/>
          <w:color w:val="595959"/>
          <w:sz w:val="22"/>
          <w:szCs w:val="22"/>
        </w:rPr>
        <w:t xml:space="preserve">il </w:t>
      </w:r>
      <w:r w:rsidR="00475167" w:rsidRPr="00166C99">
        <w:rPr>
          <w:rFonts w:ascii="Calibri" w:hAnsi="Calibri" w:cs="Calibri"/>
          <w:color w:val="595959"/>
          <w:sz w:val="22"/>
          <w:szCs w:val="22"/>
        </w:rPr>
        <w:t>s’agi</w:t>
      </w:r>
      <w:r w:rsidRPr="00166C99">
        <w:rPr>
          <w:rFonts w:ascii="Calibri" w:hAnsi="Calibri" w:cs="Calibri"/>
          <w:color w:val="595959"/>
          <w:sz w:val="22"/>
          <w:szCs w:val="22"/>
        </w:rPr>
        <w:t xml:space="preserve">rait de comprendre </w:t>
      </w:r>
      <w:r w:rsidR="0077097A" w:rsidRPr="00166C99">
        <w:rPr>
          <w:rFonts w:ascii="Calibri" w:hAnsi="Calibri" w:cs="Calibri"/>
          <w:color w:val="595959"/>
          <w:sz w:val="22"/>
          <w:szCs w:val="22"/>
        </w:rPr>
        <w:t xml:space="preserve">comment opère l’accountability </w:t>
      </w:r>
      <w:r w:rsidR="00124B61" w:rsidRPr="00166C99">
        <w:rPr>
          <w:rFonts w:ascii="Calibri" w:hAnsi="Calibri" w:cs="Calibri"/>
          <w:color w:val="595959"/>
          <w:sz w:val="22"/>
          <w:szCs w:val="22"/>
        </w:rPr>
        <w:t xml:space="preserve">de l’exécutif </w:t>
      </w:r>
      <w:r w:rsidR="0077097A" w:rsidRPr="00166C99">
        <w:rPr>
          <w:rFonts w:ascii="Calibri" w:hAnsi="Calibri" w:cs="Calibri"/>
          <w:color w:val="595959"/>
          <w:sz w:val="22"/>
          <w:szCs w:val="22"/>
        </w:rPr>
        <w:t>dans le système de gouvernance supranational, multiniveau et hybride qu’est l’Union Européenne</w:t>
      </w:r>
      <w:r w:rsidR="00124B61" w:rsidRPr="00166C99">
        <w:rPr>
          <w:rFonts w:ascii="Calibri" w:hAnsi="Calibri" w:cs="Calibri"/>
          <w:color w:val="595959"/>
          <w:sz w:val="22"/>
          <w:szCs w:val="22"/>
        </w:rPr>
        <w:t xml:space="preserve">. Ensuite, cela </w:t>
      </w:r>
      <w:r w:rsidR="00416663" w:rsidRPr="00166C99">
        <w:rPr>
          <w:rFonts w:ascii="Calibri" w:hAnsi="Calibri" w:cs="Calibri"/>
          <w:color w:val="595959"/>
          <w:sz w:val="22"/>
          <w:szCs w:val="22"/>
        </w:rPr>
        <w:t>a des implications pour la légitimité démocratique de l’Union Européenne</w:t>
      </w:r>
      <w:r w:rsidR="003022C0">
        <w:rPr>
          <w:rFonts w:ascii="Calibri" w:hAnsi="Calibri" w:cs="Calibri"/>
          <w:color w:val="595959"/>
          <w:sz w:val="22"/>
          <w:szCs w:val="22"/>
        </w:rPr>
        <w:t xml:space="preserve"> ; </w:t>
      </w:r>
      <w:r w:rsidR="00345467" w:rsidRPr="00166C99">
        <w:rPr>
          <w:rFonts w:ascii="Calibri" w:hAnsi="Calibri" w:cs="Calibri"/>
          <w:color w:val="595959"/>
          <w:sz w:val="22"/>
          <w:szCs w:val="22"/>
        </w:rPr>
        <w:t xml:space="preserve">ce renforcement et multiplication des forums de l’accountability </w:t>
      </w:r>
      <w:r w:rsidR="00647743" w:rsidRPr="00166C99">
        <w:rPr>
          <w:rFonts w:ascii="Calibri" w:hAnsi="Calibri" w:cs="Calibri"/>
          <w:color w:val="595959"/>
          <w:sz w:val="22"/>
          <w:szCs w:val="22"/>
        </w:rPr>
        <w:t xml:space="preserve">s’insère dans des débats plus larges sur le déficit démocratique de l’UE. </w:t>
      </w:r>
    </w:p>
    <w:p w14:paraId="537395B6" w14:textId="61F69EC4" w:rsidR="00085B73" w:rsidRDefault="00DF27C7" w:rsidP="00166C99">
      <w:pPr>
        <w:pStyle w:val="NormalWeb"/>
        <w:jc w:val="both"/>
        <w:rPr>
          <w:rFonts w:ascii="Calibri" w:hAnsi="Calibri" w:cs="Calibri"/>
          <w:color w:val="595959"/>
          <w:sz w:val="22"/>
          <w:szCs w:val="22"/>
        </w:rPr>
      </w:pPr>
      <w:r w:rsidRPr="00166C99">
        <w:rPr>
          <w:rFonts w:ascii="Calibri" w:hAnsi="Calibri" w:cs="Calibri"/>
          <w:color w:val="595959"/>
          <w:sz w:val="22"/>
          <w:szCs w:val="22"/>
        </w:rPr>
        <w:t>En reconnaissant la nature multiniveau de l’architecture de l’UE, elle s’inscrit dans le courant théorique de la multi-level governance</w:t>
      </w:r>
      <w:r w:rsidR="006D57B6" w:rsidRPr="00166C99">
        <w:rPr>
          <w:rFonts w:ascii="Calibri" w:hAnsi="Calibri" w:cs="Calibri"/>
          <w:color w:val="595959"/>
          <w:sz w:val="22"/>
          <w:szCs w:val="22"/>
        </w:rPr>
        <w:t xml:space="preserve">, qui permet de comprendre ce à </w:t>
      </w:r>
      <w:r w:rsidR="0058751D" w:rsidRPr="00166C99">
        <w:rPr>
          <w:rFonts w:ascii="Calibri" w:hAnsi="Calibri" w:cs="Calibri"/>
          <w:color w:val="595959"/>
          <w:sz w:val="22"/>
          <w:szCs w:val="22"/>
        </w:rPr>
        <w:t>quoi l’UE</w:t>
      </w:r>
      <w:r w:rsidR="006D57B6" w:rsidRPr="00166C99">
        <w:rPr>
          <w:rFonts w:ascii="Calibri" w:hAnsi="Calibri" w:cs="Calibri"/>
          <w:color w:val="595959"/>
          <w:sz w:val="22"/>
          <w:szCs w:val="22"/>
        </w:rPr>
        <w:t xml:space="preserve"> ressemble. </w:t>
      </w:r>
      <w:r w:rsidR="002B471C" w:rsidRPr="00166C99">
        <w:rPr>
          <w:rFonts w:ascii="Calibri" w:hAnsi="Calibri" w:cs="Calibri"/>
          <w:color w:val="595959"/>
          <w:sz w:val="22"/>
          <w:szCs w:val="22"/>
        </w:rPr>
        <w:t xml:space="preserve">La multi-level governance </w:t>
      </w:r>
      <w:r w:rsidR="00592D52" w:rsidRPr="00166C99">
        <w:rPr>
          <w:rFonts w:ascii="Calibri" w:hAnsi="Calibri" w:cs="Calibri"/>
          <w:color w:val="595959"/>
          <w:sz w:val="22"/>
          <w:szCs w:val="22"/>
        </w:rPr>
        <w:t xml:space="preserve">insiste sur le fait qu’il y a différents niveaux de gouvernance et que l’autorité est </w:t>
      </w:r>
      <w:r w:rsidR="003022C0" w:rsidRPr="00166C99">
        <w:rPr>
          <w:rFonts w:ascii="Calibri" w:hAnsi="Calibri" w:cs="Calibri"/>
          <w:color w:val="595959"/>
          <w:sz w:val="22"/>
          <w:szCs w:val="22"/>
        </w:rPr>
        <w:t>partagée</w:t>
      </w:r>
      <w:r w:rsidR="00592D52" w:rsidRPr="00166C99">
        <w:rPr>
          <w:rFonts w:ascii="Calibri" w:hAnsi="Calibri" w:cs="Calibri"/>
          <w:color w:val="595959"/>
          <w:sz w:val="22"/>
          <w:szCs w:val="22"/>
        </w:rPr>
        <w:t xml:space="preserve"> parmi les acteurs à ces différents niveaux. </w:t>
      </w:r>
    </w:p>
    <w:p w14:paraId="20E06F9B" w14:textId="77777777" w:rsidR="003022C0" w:rsidRDefault="003022C0" w:rsidP="00166C99">
      <w:pPr>
        <w:pStyle w:val="NormalWeb"/>
        <w:jc w:val="both"/>
        <w:rPr>
          <w:rFonts w:ascii="Calibri" w:hAnsi="Calibri" w:cs="Calibri"/>
          <w:color w:val="595959"/>
          <w:sz w:val="22"/>
          <w:szCs w:val="22"/>
        </w:rPr>
      </w:pPr>
    </w:p>
    <w:p w14:paraId="20CF4257" w14:textId="77777777" w:rsidR="003022C0" w:rsidRPr="00166C99" w:rsidRDefault="003022C0" w:rsidP="00166C99">
      <w:pPr>
        <w:pStyle w:val="NormalWeb"/>
        <w:jc w:val="both"/>
        <w:rPr>
          <w:rFonts w:ascii="Calibri" w:hAnsi="Calibri" w:cs="Calibri"/>
          <w:color w:val="595959"/>
          <w:sz w:val="22"/>
          <w:szCs w:val="22"/>
        </w:rPr>
      </w:pPr>
    </w:p>
    <w:p w14:paraId="3536128E" w14:textId="4BD470BA" w:rsidR="006C521B" w:rsidRPr="00166C99" w:rsidRDefault="00471D17" w:rsidP="00166C99">
      <w:pPr>
        <w:pStyle w:val="Heading2"/>
        <w:jc w:val="both"/>
        <w:rPr>
          <w:sz w:val="22"/>
          <w:szCs w:val="22"/>
          <w:u w:val="single"/>
        </w:rPr>
      </w:pPr>
      <w:r w:rsidRPr="00166C99">
        <w:rPr>
          <w:sz w:val="22"/>
          <w:szCs w:val="22"/>
          <w:u w:val="single"/>
        </w:rPr>
        <w:lastRenderedPageBreak/>
        <w:t>Conclusion</w:t>
      </w:r>
      <w:r w:rsidR="006C521B" w:rsidRPr="00166C99">
        <w:rPr>
          <w:sz w:val="22"/>
          <w:szCs w:val="22"/>
          <w:u w:val="single"/>
        </w:rPr>
        <w:t xml:space="preserve">: critique interne/ externe </w:t>
      </w:r>
    </w:p>
    <w:p w14:paraId="6B1F048F" w14:textId="77777777" w:rsidR="00BE4EA4" w:rsidRPr="00166C99" w:rsidRDefault="00BE4EA4" w:rsidP="00166C99">
      <w:pPr>
        <w:jc w:val="both"/>
      </w:pPr>
    </w:p>
    <w:p w14:paraId="1AB832AA" w14:textId="24B56E50" w:rsidR="00B30D97" w:rsidRPr="00166C99" w:rsidRDefault="00647743" w:rsidP="00166C99">
      <w:pPr>
        <w:jc w:val="both"/>
        <w:rPr>
          <w:color w:val="595959" w:themeColor="text1" w:themeTint="A6"/>
        </w:rPr>
      </w:pPr>
      <w:r w:rsidRPr="00166C99">
        <w:rPr>
          <w:b/>
          <w:bCs/>
          <w:color w:val="595959" w:themeColor="text1" w:themeTint="A6"/>
        </w:rPr>
        <w:t>Critique interne</w:t>
      </w:r>
      <w:r w:rsidRPr="00166C99">
        <w:rPr>
          <w:color w:val="595959" w:themeColor="text1" w:themeTint="A6"/>
        </w:rPr>
        <w:t> :</w:t>
      </w:r>
    </w:p>
    <w:p w14:paraId="64D63AE2" w14:textId="276A1FB6" w:rsidR="00685675" w:rsidRPr="00166C99" w:rsidRDefault="00784D42" w:rsidP="00166C99">
      <w:pPr>
        <w:jc w:val="both"/>
        <w:rPr>
          <w:color w:val="595959" w:themeColor="text1" w:themeTint="A6"/>
        </w:rPr>
      </w:pPr>
      <w:r w:rsidRPr="00166C99">
        <w:rPr>
          <w:color w:val="595959" w:themeColor="text1" w:themeTint="A6"/>
        </w:rPr>
        <w:t xml:space="preserve">Wille le reconnaît </w:t>
      </w:r>
      <w:r w:rsidR="009138E6" w:rsidRPr="00166C99">
        <w:rPr>
          <w:color w:val="595959" w:themeColor="text1" w:themeTint="A6"/>
        </w:rPr>
        <w:t>par</w:t>
      </w:r>
      <w:r w:rsidRPr="00166C99">
        <w:rPr>
          <w:color w:val="595959" w:themeColor="text1" w:themeTint="A6"/>
        </w:rPr>
        <w:t xml:space="preserve"> elle-même que son chapitre ne cherche pas </w:t>
      </w:r>
      <w:r w:rsidR="002A2AE7" w:rsidRPr="00166C99">
        <w:rPr>
          <w:color w:val="595959" w:themeColor="text1" w:themeTint="A6"/>
        </w:rPr>
        <w:t>à dresser une enquête</w:t>
      </w:r>
      <w:r w:rsidR="00FD053B" w:rsidRPr="00166C99">
        <w:rPr>
          <w:color w:val="595959" w:themeColor="text1" w:themeTint="A6"/>
        </w:rPr>
        <w:t xml:space="preserve"> empirique</w:t>
      </w:r>
      <w:r w:rsidR="002A2AE7" w:rsidRPr="00166C99">
        <w:rPr>
          <w:color w:val="595959" w:themeColor="text1" w:themeTint="A6"/>
        </w:rPr>
        <w:t xml:space="preserve"> </w:t>
      </w:r>
      <w:r w:rsidR="00FD053B" w:rsidRPr="00166C99">
        <w:rPr>
          <w:color w:val="595959" w:themeColor="text1" w:themeTint="A6"/>
        </w:rPr>
        <w:t xml:space="preserve">complète et détaillée </w:t>
      </w:r>
      <w:r w:rsidR="00A312F3" w:rsidRPr="00166C99">
        <w:rPr>
          <w:color w:val="595959" w:themeColor="text1" w:themeTint="A6"/>
        </w:rPr>
        <w:t>sur l’administration de l’UE, qui exigerait</w:t>
      </w:r>
      <w:r w:rsidR="00CC1552" w:rsidRPr="00166C99">
        <w:rPr>
          <w:color w:val="595959" w:themeColor="text1" w:themeTint="A6"/>
        </w:rPr>
        <w:t xml:space="preserve"> au </w:t>
      </w:r>
      <w:r w:rsidR="00464B90" w:rsidRPr="00166C99">
        <w:rPr>
          <w:color w:val="595959" w:themeColor="text1" w:themeTint="A6"/>
        </w:rPr>
        <w:t>lieu une</w:t>
      </w:r>
      <w:r w:rsidR="00A312F3" w:rsidRPr="00166C99">
        <w:rPr>
          <w:color w:val="595959" w:themeColor="text1" w:themeTint="A6"/>
        </w:rPr>
        <w:t xml:space="preserve"> examination de qui est ‘accountable’ envers qui, pour quoi et quels motifs, et selon quelles procédures.</w:t>
      </w:r>
      <w:r w:rsidR="0013458C" w:rsidRPr="00166C99">
        <w:rPr>
          <w:color w:val="595959" w:themeColor="text1" w:themeTint="A6"/>
        </w:rPr>
        <w:t xml:space="preserve"> </w:t>
      </w:r>
    </w:p>
    <w:p w14:paraId="27FE930B" w14:textId="1620268A" w:rsidR="00647743" w:rsidRPr="00166C99" w:rsidRDefault="0027010F" w:rsidP="00166C99">
      <w:pPr>
        <w:jc w:val="both"/>
        <w:rPr>
          <w:color w:val="595959" w:themeColor="text1" w:themeTint="A6"/>
        </w:rPr>
      </w:pPr>
      <w:r w:rsidRPr="00166C99">
        <w:rPr>
          <w:color w:val="595959" w:themeColor="text1" w:themeTint="A6"/>
        </w:rPr>
        <w:t xml:space="preserve">Elle </w:t>
      </w:r>
      <w:r w:rsidR="003022C0">
        <w:rPr>
          <w:color w:val="595959" w:themeColor="text1" w:themeTint="A6"/>
        </w:rPr>
        <w:t>admet</w:t>
      </w:r>
      <w:r w:rsidR="00633167">
        <w:rPr>
          <w:color w:val="595959" w:themeColor="text1" w:themeTint="A6"/>
        </w:rPr>
        <w:t xml:space="preserve"> </w:t>
      </w:r>
      <w:r w:rsidRPr="00166C99">
        <w:rPr>
          <w:color w:val="595959" w:themeColor="text1" w:themeTint="A6"/>
        </w:rPr>
        <w:t>que sa question se limite à une description sur quels sont les forums d’accountability en place pour contrôler les acteurs administratifs de l’exécutif européen</w:t>
      </w:r>
      <w:r w:rsidR="001A4A71" w:rsidRPr="00166C99">
        <w:rPr>
          <w:color w:val="595959" w:themeColor="text1" w:themeTint="A6"/>
        </w:rPr>
        <w:t xml:space="preserve">. </w:t>
      </w:r>
      <w:r w:rsidR="00E31F5F" w:rsidRPr="00166C99">
        <w:rPr>
          <w:color w:val="595959" w:themeColor="text1" w:themeTint="A6"/>
        </w:rPr>
        <w:t>Mai</w:t>
      </w:r>
      <w:r w:rsidR="00633167">
        <w:rPr>
          <w:color w:val="595959" w:themeColor="text1" w:themeTint="A6"/>
        </w:rPr>
        <w:t>s</w:t>
      </w:r>
      <w:r w:rsidR="00E31F5F" w:rsidRPr="00166C99">
        <w:rPr>
          <w:color w:val="595959" w:themeColor="text1" w:themeTint="A6"/>
        </w:rPr>
        <w:t xml:space="preserve"> e</w:t>
      </w:r>
      <w:r w:rsidR="001A4A71" w:rsidRPr="00166C99">
        <w:rPr>
          <w:color w:val="595959" w:themeColor="text1" w:themeTint="A6"/>
        </w:rPr>
        <w:t>n réalité, à partir de cette question</w:t>
      </w:r>
      <w:r w:rsidR="00F85CB6" w:rsidRPr="00166C99">
        <w:rPr>
          <w:color w:val="595959" w:themeColor="text1" w:themeTint="A6"/>
        </w:rPr>
        <w:t xml:space="preserve">, </w:t>
      </w:r>
      <w:r w:rsidR="001A4A71" w:rsidRPr="00166C99">
        <w:rPr>
          <w:color w:val="595959" w:themeColor="text1" w:themeTint="A6"/>
        </w:rPr>
        <w:t xml:space="preserve">elle enrichit son analyse avec des explications </w:t>
      </w:r>
      <w:r w:rsidR="00DE03AA" w:rsidRPr="00166C99">
        <w:rPr>
          <w:color w:val="595959" w:themeColor="text1" w:themeTint="A6"/>
        </w:rPr>
        <w:t xml:space="preserve">plus larges sur </w:t>
      </w:r>
      <w:r w:rsidR="008D602C">
        <w:rPr>
          <w:color w:val="595959" w:themeColor="text1" w:themeTint="A6"/>
        </w:rPr>
        <w:t xml:space="preserve">le déficit </w:t>
      </w:r>
      <w:r w:rsidR="00DE03AA" w:rsidRPr="00166C99">
        <w:rPr>
          <w:color w:val="595959" w:themeColor="text1" w:themeTint="A6"/>
        </w:rPr>
        <w:t>démocrati</w:t>
      </w:r>
      <w:r w:rsidR="00633167">
        <w:rPr>
          <w:color w:val="595959" w:themeColor="text1" w:themeTint="A6"/>
        </w:rPr>
        <w:t>qu</w:t>
      </w:r>
      <w:r w:rsidR="00DE03AA" w:rsidRPr="00166C99">
        <w:rPr>
          <w:color w:val="595959" w:themeColor="text1" w:themeTint="A6"/>
        </w:rPr>
        <w:t xml:space="preserve">e dans l’Union Européenne et comment la perception que l’on a de l’architecture de gouvernance de l’UE influence </w:t>
      </w:r>
      <w:r w:rsidR="003221C3" w:rsidRPr="00166C99">
        <w:rPr>
          <w:color w:val="595959" w:themeColor="text1" w:themeTint="A6"/>
        </w:rPr>
        <w:t xml:space="preserve">notre vision de l’accountability. </w:t>
      </w:r>
      <w:r w:rsidR="009B4D25" w:rsidRPr="00166C99">
        <w:rPr>
          <w:color w:val="595959" w:themeColor="text1" w:themeTint="A6"/>
        </w:rPr>
        <w:t xml:space="preserve"> Mais aussi, elle montre en quoi la structure de gouvernance actuelle de l’UE pose un défi pour l’accountability</w:t>
      </w:r>
      <w:r w:rsidR="009F7BDB" w:rsidRPr="00166C99">
        <w:rPr>
          <w:color w:val="595959" w:themeColor="text1" w:themeTint="A6"/>
        </w:rPr>
        <w:t xml:space="preserve"> de l’exécutif</w:t>
      </w:r>
      <w:r w:rsidR="009B4D25" w:rsidRPr="00166C99">
        <w:rPr>
          <w:color w:val="595959" w:themeColor="text1" w:themeTint="A6"/>
        </w:rPr>
        <w:t xml:space="preserve">, et par extension, un défi pour la légitimité démocratique de l’UE. </w:t>
      </w:r>
    </w:p>
    <w:p w14:paraId="17ABAB5B" w14:textId="02DD0072" w:rsidR="00647743" w:rsidRPr="00166C99" w:rsidRDefault="00647743" w:rsidP="00166C99">
      <w:pPr>
        <w:jc w:val="both"/>
        <w:rPr>
          <w:color w:val="595959" w:themeColor="text1" w:themeTint="A6"/>
        </w:rPr>
      </w:pPr>
      <w:r w:rsidRPr="00166C99">
        <w:rPr>
          <w:b/>
          <w:bCs/>
          <w:color w:val="595959" w:themeColor="text1" w:themeTint="A6"/>
        </w:rPr>
        <w:t>Critique externe</w:t>
      </w:r>
      <w:r w:rsidR="00EB04F0" w:rsidRPr="00166C99">
        <w:rPr>
          <w:b/>
          <w:bCs/>
          <w:color w:val="595959" w:themeColor="text1" w:themeTint="A6"/>
        </w:rPr>
        <w:t>/ Etat de l’art</w:t>
      </w:r>
      <w:r w:rsidR="00EB04F0" w:rsidRPr="00166C99">
        <w:rPr>
          <w:color w:val="595959" w:themeColor="text1" w:themeTint="A6"/>
        </w:rPr>
        <w:t xml:space="preserve"> </w:t>
      </w:r>
      <w:r w:rsidR="00867C2E" w:rsidRPr="00166C99">
        <w:rPr>
          <w:color w:val="595959" w:themeColor="text1" w:themeTint="A6"/>
        </w:rPr>
        <w:t xml:space="preserve"> </w:t>
      </w:r>
      <w:r w:rsidR="00867C2E" w:rsidRPr="00166C99">
        <w:rPr>
          <w:i/>
          <w:iCs/>
          <w:color w:val="595959" w:themeColor="text1" w:themeTint="A6"/>
        </w:rPr>
        <w:t>(</w:t>
      </w:r>
      <w:r w:rsidR="00166C99" w:rsidRPr="00166C99">
        <w:rPr>
          <w:i/>
          <w:iCs/>
          <w:color w:val="595959" w:themeColor="text1" w:themeTint="A6"/>
        </w:rPr>
        <w:t>qui ne prétend en rien être exhaustive, sinon qui cherche à relier quelques éléments de la littérature scientifique avec l’article étudié)</w:t>
      </w:r>
      <w:r w:rsidR="00166C99" w:rsidRPr="00166C99">
        <w:rPr>
          <w:color w:val="595959" w:themeColor="text1" w:themeTint="A6"/>
        </w:rPr>
        <w:t xml:space="preserve"> </w:t>
      </w:r>
      <w:r w:rsidRPr="00166C99">
        <w:rPr>
          <w:color w:val="595959" w:themeColor="text1" w:themeTint="A6"/>
        </w:rPr>
        <w:t xml:space="preserve">: </w:t>
      </w:r>
    </w:p>
    <w:p w14:paraId="2404C2A6" w14:textId="21B4B0D8" w:rsidR="004F0EB6" w:rsidRPr="00166C99" w:rsidRDefault="00FC69D8" w:rsidP="00166C99">
      <w:pPr>
        <w:jc w:val="both"/>
        <w:rPr>
          <w:color w:val="595959" w:themeColor="text1" w:themeTint="A6"/>
        </w:rPr>
      </w:pPr>
      <w:r w:rsidRPr="00166C99">
        <w:rPr>
          <w:color w:val="595959" w:themeColor="text1" w:themeTint="A6"/>
        </w:rPr>
        <w:t xml:space="preserve">Dans une ligne similaire à celle de Wille, Carol Harlow </w:t>
      </w:r>
      <w:r w:rsidR="00654A0B" w:rsidRPr="00166C99">
        <w:rPr>
          <w:color w:val="595959" w:themeColor="text1" w:themeTint="A6"/>
        </w:rPr>
        <w:t>analyse </w:t>
      </w:r>
      <w:r w:rsidR="002757B0" w:rsidRPr="00166C99">
        <w:rPr>
          <w:color w:val="595959" w:themeColor="text1" w:themeTint="A6"/>
        </w:rPr>
        <w:t>‘</w:t>
      </w:r>
      <w:r w:rsidR="00654A0B" w:rsidRPr="00166C99">
        <w:rPr>
          <w:color w:val="595959" w:themeColor="text1" w:themeTint="A6"/>
        </w:rPr>
        <w:t>l’accountability dans l’Union Européenne</w:t>
      </w:r>
      <w:r w:rsidR="002757B0" w:rsidRPr="00166C99">
        <w:rPr>
          <w:color w:val="595959" w:themeColor="text1" w:themeTint="A6"/>
        </w:rPr>
        <w:t>’</w:t>
      </w:r>
      <w:r w:rsidR="00CD2369" w:rsidRPr="00166C99">
        <w:rPr>
          <w:rStyle w:val="FootnoteReference"/>
          <w:color w:val="595959" w:themeColor="text1" w:themeTint="A6"/>
        </w:rPr>
        <w:footnoteReference w:id="1"/>
      </w:r>
      <w:r w:rsidR="00C2752D" w:rsidRPr="00166C99">
        <w:rPr>
          <w:color w:val="595959" w:themeColor="text1" w:themeTint="A6"/>
        </w:rPr>
        <w:t xml:space="preserve"> à partir du problème de déficit démocratique</w:t>
      </w:r>
      <w:r w:rsidR="000D6FDC" w:rsidRPr="00166C99">
        <w:rPr>
          <w:color w:val="595959" w:themeColor="text1" w:themeTint="A6"/>
        </w:rPr>
        <w:t>. Elle regarde comment les différents Etat</w:t>
      </w:r>
      <w:r w:rsidR="00477832" w:rsidRPr="00166C99">
        <w:rPr>
          <w:color w:val="595959" w:themeColor="text1" w:themeTint="A6"/>
        </w:rPr>
        <w:t xml:space="preserve">s </w:t>
      </w:r>
      <w:r w:rsidR="000D6FDC" w:rsidRPr="00166C99">
        <w:rPr>
          <w:color w:val="595959" w:themeColor="text1" w:themeTint="A6"/>
        </w:rPr>
        <w:t xml:space="preserve">membres comprennent le concept d’accountability, qui par ailleurs fait l’objet de </w:t>
      </w:r>
      <w:r w:rsidR="004E0992" w:rsidRPr="00166C99">
        <w:rPr>
          <w:color w:val="595959" w:themeColor="text1" w:themeTint="A6"/>
        </w:rPr>
        <w:t>débats théoriques</w:t>
      </w:r>
      <w:r w:rsidR="008D602C">
        <w:rPr>
          <w:color w:val="595959" w:themeColor="text1" w:themeTint="A6"/>
        </w:rPr>
        <w:t xml:space="preserve"> dans la littérature académique</w:t>
      </w:r>
      <w:r w:rsidR="00981928" w:rsidRPr="00166C99">
        <w:rPr>
          <w:color w:val="595959" w:themeColor="text1" w:themeTint="A6"/>
        </w:rPr>
        <w:t>. Mais aussi, elle identifie les différentes techniques</w:t>
      </w:r>
      <w:r w:rsidR="00956884" w:rsidRPr="00166C99">
        <w:rPr>
          <w:color w:val="595959" w:themeColor="text1" w:themeTint="A6"/>
        </w:rPr>
        <w:t xml:space="preserve"> </w:t>
      </w:r>
      <w:r w:rsidR="001B15F1" w:rsidRPr="00166C99">
        <w:rPr>
          <w:color w:val="595959" w:themeColor="text1" w:themeTint="A6"/>
        </w:rPr>
        <w:t>(politiques légales et managériales) par lesquelles l’accountability peut être assurée</w:t>
      </w:r>
      <w:r w:rsidR="009A3D45" w:rsidRPr="00166C99">
        <w:rPr>
          <w:color w:val="595959" w:themeColor="text1" w:themeTint="A6"/>
        </w:rPr>
        <w:t xml:space="preserve">, qui inclut des institutions comme le Parlement </w:t>
      </w:r>
      <w:r w:rsidR="00633167">
        <w:rPr>
          <w:color w:val="595959" w:themeColor="text1" w:themeTint="A6"/>
        </w:rPr>
        <w:t xml:space="preserve">ou encore </w:t>
      </w:r>
      <w:r w:rsidR="009A3D45" w:rsidRPr="00166C99">
        <w:rPr>
          <w:color w:val="595959" w:themeColor="text1" w:themeTint="A6"/>
        </w:rPr>
        <w:t xml:space="preserve">la Cour des Comptes Européenne. </w:t>
      </w:r>
    </w:p>
    <w:p w14:paraId="0380F26A" w14:textId="7C955DFF" w:rsidR="004445DE" w:rsidRPr="00166C99" w:rsidRDefault="004445DE" w:rsidP="00166C99">
      <w:pPr>
        <w:jc w:val="both"/>
        <w:rPr>
          <w:color w:val="595959" w:themeColor="text1" w:themeTint="A6"/>
        </w:rPr>
      </w:pPr>
      <w:r w:rsidRPr="00166C99">
        <w:rPr>
          <w:color w:val="595959" w:themeColor="text1" w:themeTint="A6"/>
        </w:rPr>
        <w:t>Quant à</w:t>
      </w:r>
      <w:r w:rsidR="0090368F" w:rsidRPr="00166C99">
        <w:rPr>
          <w:color w:val="595959" w:themeColor="text1" w:themeTint="A6"/>
        </w:rPr>
        <w:t xml:space="preserve"> Bo</w:t>
      </w:r>
      <w:r w:rsidR="00B8629C">
        <w:rPr>
          <w:color w:val="595959" w:themeColor="text1" w:themeTint="A6"/>
        </w:rPr>
        <w:t>v</w:t>
      </w:r>
      <w:r w:rsidR="0090368F" w:rsidRPr="00166C99">
        <w:rPr>
          <w:color w:val="595959" w:themeColor="text1" w:themeTint="A6"/>
        </w:rPr>
        <w:t>ens</w:t>
      </w:r>
      <w:r w:rsidR="004E21D8" w:rsidRPr="00166C99">
        <w:rPr>
          <w:rStyle w:val="FootnoteReference"/>
          <w:color w:val="595959" w:themeColor="text1" w:themeTint="A6"/>
        </w:rPr>
        <w:footnoteReference w:id="2"/>
      </w:r>
      <w:r w:rsidR="0090368F" w:rsidRPr="00166C99">
        <w:rPr>
          <w:color w:val="595959" w:themeColor="text1" w:themeTint="A6"/>
        </w:rPr>
        <w:t>, il explore la question selon laquell</w:t>
      </w:r>
      <w:r w:rsidR="004E21D8" w:rsidRPr="00166C99">
        <w:rPr>
          <w:color w:val="595959" w:themeColor="text1" w:themeTint="A6"/>
        </w:rPr>
        <w:t>e</w:t>
      </w:r>
      <w:r w:rsidR="0090368F" w:rsidRPr="00166C99">
        <w:rPr>
          <w:color w:val="595959" w:themeColor="text1" w:themeTint="A6"/>
        </w:rPr>
        <w:t xml:space="preserve"> les </w:t>
      </w:r>
      <w:r w:rsidR="004E21D8" w:rsidRPr="00166C99">
        <w:rPr>
          <w:color w:val="595959" w:themeColor="text1" w:themeTint="A6"/>
        </w:rPr>
        <w:t xml:space="preserve">nouvelles formes de gouvernance multi-niveau requièrent de nouvelles formes d’accountability. </w:t>
      </w:r>
      <w:r w:rsidR="006D46CB" w:rsidRPr="00166C99">
        <w:rPr>
          <w:color w:val="595959" w:themeColor="text1" w:themeTint="A6"/>
        </w:rPr>
        <w:t>Selon lui, les nouvelles formes d</w:t>
      </w:r>
      <w:r w:rsidR="00D61BE2" w:rsidRPr="00166C99">
        <w:rPr>
          <w:color w:val="595959" w:themeColor="text1" w:themeTint="A6"/>
        </w:rPr>
        <w:t>’accountability sont de nature horizontale ou verticale</w:t>
      </w:r>
      <w:r w:rsidR="002C28B1" w:rsidRPr="00166C99">
        <w:rPr>
          <w:color w:val="595959" w:themeColor="text1" w:themeTint="A6"/>
        </w:rPr>
        <w:t xml:space="preserve">, améliorent </w:t>
      </w:r>
      <w:r w:rsidR="00F84147" w:rsidRPr="00166C99">
        <w:rPr>
          <w:color w:val="595959" w:themeColor="text1" w:themeTint="A6"/>
        </w:rPr>
        <w:t xml:space="preserve">le </w:t>
      </w:r>
      <w:r w:rsidR="002C28B1" w:rsidRPr="00166C99">
        <w:rPr>
          <w:color w:val="595959" w:themeColor="text1" w:themeTint="A6"/>
        </w:rPr>
        <w:t xml:space="preserve">policy learning et </w:t>
      </w:r>
      <w:r w:rsidR="007F654E" w:rsidRPr="00166C99">
        <w:rPr>
          <w:color w:val="595959" w:themeColor="text1" w:themeTint="A6"/>
        </w:rPr>
        <w:t xml:space="preserve">offrent des freins et contrepoids formels et informels </w:t>
      </w:r>
      <w:r w:rsidR="00924738" w:rsidRPr="00166C99">
        <w:rPr>
          <w:color w:val="595959" w:themeColor="text1" w:themeTint="A6"/>
        </w:rPr>
        <w:t xml:space="preserve">– sans pour autant être des alternatives aux formes traditionnelles de contrôle populaire. </w:t>
      </w:r>
    </w:p>
    <w:p w14:paraId="655E2A1E" w14:textId="1527E454" w:rsidR="00CE1CCA" w:rsidRPr="00166C99" w:rsidRDefault="001647AA" w:rsidP="00166C99">
      <w:pPr>
        <w:jc w:val="both"/>
        <w:rPr>
          <w:color w:val="595959" w:themeColor="text1" w:themeTint="A6"/>
        </w:rPr>
      </w:pPr>
      <w:r w:rsidRPr="00166C99">
        <w:rPr>
          <w:color w:val="595959" w:themeColor="text1" w:themeTint="A6"/>
        </w:rPr>
        <w:t>Wille avait écrit un article déjà plus empirique sur l’accountability polit</w:t>
      </w:r>
      <w:r w:rsidR="008D602C">
        <w:rPr>
          <w:color w:val="595959" w:themeColor="text1" w:themeTint="A6"/>
        </w:rPr>
        <w:t>ic</w:t>
      </w:r>
      <w:r w:rsidRPr="00166C99">
        <w:rPr>
          <w:color w:val="595959" w:themeColor="text1" w:themeTint="A6"/>
        </w:rPr>
        <w:t>o-bureaucratique dans la Commission européenne</w:t>
      </w:r>
      <w:r w:rsidR="00282A25" w:rsidRPr="00166C99">
        <w:rPr>
          <w:rStyle w:val="FootnoteReference"/>
          <w:color w:val="595959" w:themeColor="text1" w:themeTint="A6"/>
        </w:rPr>
        <w:footnoteReference w:id="3"/>
      </w:r>
      <w:r w:rsidR="00282A25" w:rsidRPr="00166C99">
        <w:rPr>
          <w:color w:val="595959" w:themeColor="text1" w:themeTint="A6"/>
        </w:rPr>
        <w:t xml:space="preserve">, qui est un bon complément </w:t>
      </w:r>
      <w:r w:rsidR="007E4F10" w:rsidRPr="00166C99">
        <w:rPr>
          <w:color w:val="595959" w:themeColor="text1" w:themeTint="A6"/>
        </w:rPr>
        <w:t>à l’article synthétisé.</w:t>
      </w:r>
      <w:r w:rsidR="00CE1CCA" w:rsidRPr="00166C99">
        <w:rPr>
          <w:color w:val="595959" w:themeColor="text1" w:themeTint="A6"/>
        </w:rPr>
        <w:t xml:space="preserve"> Pour cela, elle puise des</w:t>
      </w:r>
      <w:r w:rsidR="008D602C">
        <w:rPr>
          <w:color w:val="595959" w:themeColor="text1" w:themeTint="A6"/>
        </w:rPr>
        <w:t xml:space="preserve"> dans des</w:t>
      </w:r>
      <w:r w:rsidR="00CE1CCA" w:rsidRPr="00166C99">
        <w:rPr>
          <w:color w:val="595959" w:themeColor="text1" w:themeTint="A6"/>
        </w:rPr>
        <w:t xml:space="preserve"> sources documentaires sur la politique pendant les années Prodi et Barroso et dans des interviews avec des hauts </w:t>
      </w:r>
      <w:r w:rsidR="00166C99" w:rsidRPr="00166C99">
        <w:rPr>
          <w:color w:val="595959" w:themeColor="text1" w:themeTint="A6"/>
        </w:rPr>
        <w:t>fonctionnaires</w:t>
      </w:r>
      <w:r w:rsidR="00CE1CCA" w:rsidRPr="00166C99">
        <w:rPr>
          <w:color w:val="595959" w:themeColor="text1" w:themeTint="A6"/>
        </w:rPr>
        <w:t xml:space="preserve"> pendant la Commission Barrosso. </w:t>
      </w:r>
    </w:p>
    <w:p w14:paraId="493F2307" w14:textId="35F6591D" w:rsidR="00C16DF1" w:rsidRPr="00166C99" w:rsidRDefault="007E4F10" w:rsidP="00166C99">
      <w:pPr>
        <w:jc w:val="both"/>
        <w:rPr>
          <w:color w:val="595959" w:themeColor="text1" w:themeTint="A6"/>
        </w:rPr>
      </w:pPr>
      <w:r w:rsidRPr="00166C99">
        <w:rPr>
          <w:color w:val="595959" w:themeColor="text1" w:themeTint="A6"/>
        </w:rPr>
        <w:t xml:space="preserve"> </w:t>
      </w:r>
      <w:r w:rsidR="009B29A9" w:rsidRPr="00166C99">
        <w:rPr>
          <w:color w:val="595959" w:themeColor="text1" w:themeTint="A6"/>
        </w:rPr>
        <w:t xml:space="preserve">En analysant la </w:t>
      </w:r>
      <w:r w:rsidR="004372F9" w:rsidRPr="00166C99">
        <w:rPr>
          <w:color w:val="595959" w:themeColor="text1" w:themeTint="A6"/>
        </w:rPr>
        <w:t xml:space="preserve">modernisation de l’accountability dans les hauts postes de la Commission Européenne, elle utilise </w:t>
      </w:r>
      <w:r w:rsidR="009B29A9" w:rsidRPr="00166C99">
        <w:rPr>
          <w:color w:val="595959" w:themeColor="text1" w:themeTint="A6"/>
        </w:rPr>
        <w:t xml:space="preserve">deux concepts d’accountability, l’un passif et l’autre actif. </w:t>
      </w:r>
      <w:r w:rsidR="000026E0" w:rsidRPr="00166C99">
        <w:rPr>
          <w:color w:val="595959" w:themeColor="text1" w:themeTint="A6"/>
        </w:rPr>
        <w:t xml:space="preserve">Elle constante qu’un mix </w:t>
      </w:r>
      <w:r w:rsidR="008D602C">
        <w:rPr>
          <w:color w:val="595959" w:themeColor="text1" w:themeTint="A6"/>
        </w:rPr>
        <w:t>élaboré</w:t>
      </w:r>
      <w:r w:rsidR="000026E0" w:rsidRPr="00166C99">
        <w:rPr>
          <w:color w:val="595959" w:themeColor="text1" w:themeTint="A6"/>
        </w:rPr>
        <w:t xml:space="preserve"> de mécanismes d’accountability,</w:t>
      </w:r>
      <w:r w:rsidR="00994648" w:rsidRPr="00166C99">
        <w:rPr>
          <w:color w:val="595959" w:themeColor="text1" w:themeTint="A6"/>
        </w:rPr>
        <w:t xml:space="preserve"> ( et non </w:t>
      </w:r>
      <w:r w:rsidR="000026E0" w:rsidRPr="00166C99">
        <w:rPr>
          <w:color w:val="595959" w:themeColor="text1" w:themeTint="A6"/>
        </w:rPr>
        <w:t>pas seulement professionnels et juridiques</w:t>
      </w:r>
      <w:r w:rsidR="00994648" w:rsidRPr="00166C99">
        <w:rPr>
          <w:color w:val="595959" w:themeColor="text1" w:themeTint="A6"/>
        </w:rPr>
        <w:t xml:space="preserve">) </w:t>
      </w:r>
      <w:r w:rsidR="000026E0" w:rsidRPr="00166C99">
        <w:rPr>
          <w:color w:val="595959" w:themeColor="text1" w:themeTint="A6"/>
        </w:rPr>
        <w:t xml:space="preserve">ont été </w:t>
      </w:r>
      <w:r w:rsidR="00994648" w:rsidRPr="00166C99">
        <w:rPr>
          <w:color w:val="595959" w:themeColor="text1" w:themeTint="A6"/>
        </w:rPr>
        <w:t>créés</w:t>
      </w:r>
      <w:r w:rsidR="000026E0" w:rsidRPr="00166C99">
        <w:rPr>
          <w:color w:val="595959" w:themeColor="text1" w:themeTint="A6"/>
        </w:rPr>
        <w:t xml:space="preserve"> pour renforcer les mécanismes politiques et bureaucratiques et</w:t>
      </w:r>
      <w:r w:rsidR="00F8361E">
        <w:rPr>
          <w:color w:val="595959" w:themeColor="text1" w:themeTint="A6"/>
        </w:rPr>
        <w:t xml:space="preserve"> pour</w:t>
      </w:r>
      <w:r w:rsidR="000026E0" w:rsidRPr="00166C99">
        <w:rPr>
          <w:color w:val="595959" w:themeColor="text1" w:themeTint="A6"/>
        </w:rPr>
        <w:t xml:space="preserve"> crée</w:t>
      </w:r>
      <w:r w:rsidR="009A21C5" w:rsidRPr="00166C99">
        <w:rPr>
          <w:color w:val="595959" w:themeColor="text1" w:themeTint="A6"/>
        </w:rPr>
        <w:t xml:space="preserve">r </w:t>
      </w:r>
      <w:r w:rsidR="000026E0" w:rsidRPr="00166C99">
        <w:rPr>
          <w:color w:val="595959" w:themeColor="text1" w:themeTint="A6"/>
        </w:rPr>
        <w:t xml:space="preserve">de nouvelles </w:t>
      </w:r>
      <w:r w:rsidR="00AE28DE" w:rsidRPr="00166C99">
        <w:rPr>
          <w:color w:val="595959" w:themeColor="text1" w:themeTint="A6"/>
        </w:rPr>
        <w:t xml:space="preserve">attentes d’accountability </w:t>
      </w:r>
      <w:r w:rsidR="009A21C5" w:rsidRPr="00166C99">
        <w:rPr>
          <w:color w:val="595959" w:themeColor="text1" w:themeTint="A6"/>
        </w:rPr>
        <w:t xml:space="preserve">envers les </w:t>
      </w:r>
      <w:r w:rsidR="00AE28DE" w:rsidRPr="00166C99">
        <w:rPr>
          <w:color w:val="595959" w:themeColor="text1" w:themeTint="A6"/>
        </w:rPr>
        <w:t xml:space="preserve">commissaires et leurs hauts fonctionnaires. </w:t>
      </w:r>
      <w:r w:rsidR="00CE1CCA" w:rsidRPr="00166C99">
        <w:rPr>
          <w:color w:val="595959" w:themeColor="text1" w:themeTint="A6"/>
        </w:rPr>
        <w:t xml:space="preserve">Selon </w:t>
      </w:r>
      <w:r w:rsidR="00B204F6" w:rsidRPr="00166C99">
        <w:rPr>
          <w:color w:val="595959" w:themeColor="text1" w:themeTint="A6"/>
        </w:rPr>
        <w:t xml:space="preserve">elle, la modernisation du </w:t>
      </w:r>
      <w:r w:rsidR="00B204F6" w:rsidRPr="00166C99">
        <w:rPr>
          <w:color w:val="595959" w:themeColor="text1" w:themeTint="A6"/>
        </w:rPr>
        <w:lastRenderedPageBreak/>
        <w:t xml:space="preserve">système exécutif d’accountability de la Commission se caractérise par </w:t>
      </w:r>
      <w:r w:rsidR="00867C2E" w:rsidRPr="00166C99">
        <w:rPr>
          <w:color w:val="595959" w:themeColor="text1" w:themeTint="A6"/>
        </w:rPr>
        <w:t xml:space="preserve">des mécanismes d’accountability renforcés et un </w:t>
      </w:r>
      <w:r w:rsidR="00F8361E">
        <w:rPr>
          <w:color w:val="595959" w:themeColor="text1" w:themeTint="A6"/>
        </w:rPr>
        <w:t>re</w:t>
      </w:r>
      <w:r w:rsidR="00867C2E" w:rsidRPr="00166C99">
        <w:rPr>
          <w:color w:val="595959" w:themeColor="text1" w:themeTint="A6"/>
        </w:rPr>
        <w:t xml:space="preserve">virement dans le type d’accountability dominant. </w:t>
      </w:r>
    </w:p>
    <w:p w14:paraId="69FA68C4" w14:textId="69C335DA" w:rsidR="00433896" w:rsidRPr="00F8361E" w:rsidRDefault="00433896" w:rsidP="00166C99">
      <w:pPr>
        <w:ind w:left="360"/>
        <w:jc w:val="both"/>
      </w:pPr>
      <w:r w:rsidRPr="00F8361E">
        <w:t xml:space="preserve"> </w:t>
      </w:r>
    </w:p>
    <w:sectPr w:rsidR="00433896" w:rsidRPr="00F836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ACAB4" w14:textId="77777777" w:rsidR="00CD2369" w:rsidRDefault="00CD2369" w:rsidP="00CD2369">
      <w:pPr>
        <w:spacing w:after="0" w:line="240" w:lineRule="auto"/>
      </w:pPr>
      <w:r>
        <w:separator/>
      </w:r>
    </w:p>
  </w:endnote>
  <w:endnote w:type="continuationSeparator" w:id="0">
    <w:p w14:paraId="3C960549" w14:textId="77777777" w:rsidR="00CD2369" w:rsidRDefault="00CD2369" w:rsidP="00CD2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7880A" w14:textId="77777777" w:rsidR="00CD2369" w:rsidRDefault="00CD2369" w:rsidP="00CD2369">
      <w:pPr>
        <w:spacing w:after="0" w:line="240" w:lineRule="auto"/>
      </w:pPr>
      <w:r>
        <w:separator/>
      </w:r>
    </w:p>
  </w:footnote>
  <w:footnote w:type="continuationSeparator" w:id="0">
    <w:p w14:paraId="50A4B83C" w14:textId="77777777" w:rsidR="00CD2369" w:rsidRDefault="00CD2369" w:rsidP="00CD2369">
      <w:pPr>
        <w:spacing w:after="0" w:line="240" w:lineRule="auto"/>
      </w:pPr>
      <w:r>
        <w:continuationSeparator/>
      </w:r>
    </w:p>
  </w:footnote>
  <w:footnote w:id="1">
    <w:p w14:paraId="4D409CDE" w14:textId="2A9E6E4E" w:rsidR="00CD2369" w:rsidRPr="00CD2369" w:rsidRDefault="00CD2369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CD2369">
        <w:rPr>
          <w:lang w:val="en-GB"/>
        </w:rPr>
        <w:t xml:space="preserve"> Harlow, Carol, </w:t>
      </w:r>
      <w:r w:rsidRPr="00CD2369">
        <w:rPr>
          <w:i/>
          <w:iCs/>
          <w:lang w:val="en-GB"/>
        </w:rPr>
        <w:t>Accountability in the European Union</w:t>
      </w:r>
      <w:r w:rsidRPr="00CD2369">
        <w:rPr>
          <w:lang w:val="en-GB"/>
        </w:rPr>
        <w:t> (Oxford, 2002; online edn, Oxford Academic, 22 Mar. 2012), </w:t>
      </w:r>
      <w:hyperlink r:id="rId1" w:history="1">
        <w:r w:rsidRPr="00CD2369">
          <w:rPr>
            <w:rStyle w:val="Hyperlink"/>
            <w:lang w:val="en-GB"/>
          </w:rPr>
          <w:t>https://doi.org/10.1093/acprof:oso/9780199245970.001.0001</w:t>
        </w:r>
      </w:hyperlink>
      <w:r w:rsidRPr="00CD2369">
        <w:rPr>
          <w:lang w:val="en-GB"/>
        </w:rPr>
        <w:t>, accessed 2 Apr. 2023.</w:t>
      </w:r>
    </w:p>
  </w:footnote>
  <w:footnote w:id="2">
    <w:p w14:paraId="458AD14C" w14:textId="6F198DB0" w:rsidR="004E21D8" w:rsidRDefault="004E21D8">
      <w:pPr>
        <w:pStyle w:val="FootnoteText"/>
      </w:pPr>
      <w:r>
        <w:rPr>
          <w:rStyle w:val="FootnoteReference"/>
        </w:rPr>
        <w:footnoteRef/>
      </w:r>
      <w:r w:rsidRPr="004E21D8">
        <w:rPr>
          <w:lang w:val="en-GB"/>
        </w:rPr>
        <w:t xml:space="preserve"> Bovens, M. New Forms of Accountability and EU-Governance. </w:t>
      </w:r>
      <w:r w:rsidRPr="004E21D8">
        <w:rPr>
          <w:i/>
          <w:iCs/>
        </w:rPr>
        <w:t>Comp Eur Polit</w:t>
      </w:r>
      <w:r w:rsidRPr="004E21D8">
        <w:t> </w:t>
      </w:r>
      <w:r w:rsidRPr="004E21D8">
        <w:rPr>
          <w:b/>
          <w:bCs/>
        </w:rPr>
        <w:t>5</w:t>
      </w:r>
      <w:r w:rsidRPr="004E21D8">
        <w:t>, 104–120 (2007). https://doi.org/10.1057/palgrave.cep.6110101</w:t>
      </w:r>
    </w:p>
  </w:footnote>
  <w:footnote w:id="3">
    <w:p w14:paraId="5CF23D6F" w14:textId="77777777" w:rsidR="00D25672" w:rsidRPr="00D25672" w:rsidRDefault="00282A25" w:rsidP="00D25672">
      <w:pPr>
        <w:pStyle w:val="FootnoteText"/>
      </w:pPr>
      <w:r>
        <w:rPr>
          <w:rStyle w:val="FootnoteReference"/>
        </w:rPr>
        <w:footnoteRef/>
      </w:r>
      <w:r w:rsidRPr="00D25672">
        <w:rPr>
          <w:lang w:val="en-GB"/>
        </w:rPr>
        <w:t xml:space="preserve"> </w:t>
      </w:r>
      <w:r w:rsidR="00D25672" w:rsidRPr="00D25672">
        <w:rPr>
          <w:lang w:val="en-GB"/>
        </w:rPr>
        <w:t xml:space="preserve">Wille, A. (2010). Political–bureaucratic accountability in the EU Commission: Modernising The Executive. </w:t>
      </w:r>
      <w:r w:rsidR="00D25672" w:rsidRPr="00D25672">
        <w:rPr>
          <w:i/>
          <w:iCs/>
        </w:rPr>
        <w:t>West European Politics</w:t>
      </w:r>
      <w:r w:rsidR="00D25672" w:rsidRPr="00D25672">
        <w:t xml:space="preserve">, </w:t>
      </w:r>
      <w:r w:rsidR="00D25672" w:rsidRPr="00D25672">
        <w:rPr>
          <w:i/>
          <w:iCs/>
        </w:rPr>
        <w:t>33</w:t>
      </w:r>
      <w:r w:rsidR="00D25672" w:rsidRPr="00D25672">
        <w:t xml:space="preserve">(5), 1093–1116. https://doi.org/10.1080/01402382.2010.486137 </w:t>
      </w:r>
    </w:p>
    <w:p w14:paraId="4C80F9CD" w14:textId="542BAB3C" w:rsidR="00282A25" w:rsidRDefault="00282A25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F0F86"/>
    <w:multiLevelType w:val="hybridMultilevel"/>
    <w:tmpl w:val="A15A871C"/>
    <w:lvl w:ilvl="0" w:tplc="800CE7C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634C8"/>
    <w:multiLevelType w:val="hybridMultilevel"/>
    <w:tmpl w:val="162A91B2"/>
    <w:lvl w:ilvl="0" w:tplc="C7A0DEE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A64F7"/>
    <w:multiLevelType w:val="multilevel"/>
    <w:tmpl w:val="43044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6D10537"/>
    <w:multiLevelType w:val="multilevel"/>
    <w:tmpl w:val="8DC658B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F9579F"/>
    <w:multiLevelType w:val="multilevel"/>
    <w:tmpl w:val="772C7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0B03BF3"/>
    <w:multiLevelType w:val="multilevel"/>
    <w:tmpl w:val="3836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0E11882"/>
    <w:multiLevelType w:val="multilevel"/>
    <w:tmpl w:val="B486042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C95ACD"/>
    <w:multiLevelType w:val="multilevel"/>
    <w:tmpl w:val="52141B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DF4AAA"/>
    <w:multiLevelType w:val="multilevel"/>
    <w:tmpl w:val="1F44E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E3B5B2F"/>
    <w:multiLevelType w:val="multilevel"/>
    <w:tmpl w:val="C6728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32B2EF4"/>
    <w:multiLevelType w:val="multilevel"/>
    <w:tmpl w:val="FAFE9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9EA1713"/>
    <w:multiLevelType w:val="multilevel"/>
    <w:tmpl w:val="C3728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B866A6"/>
    <w:multiLevelType w:val="multilevel"/>
    <w:tmpl w:val="591C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3B77506"/>
    <w:multiLevelType w:val="multilevel"/>
    <w:tmpl w:val="5A76D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952069C"/>
    <w:multiLevelType w:val="multilevel"/>
    <w:tmpl w:val="9AF67C4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38B381A"/>
    <w:multiLevelType w:val="multilevel"/>
    <w:tmpl w:val="E35E30F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6937CEE"/>
    <w:multiLevelType w:val="hybridMultilevel"/>
    <w:tmpl w:val="73F05886"/>
    <w:lvl w:ilvl="0" w:tplc="5D5887FC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E94CA4"/>
    <w:multiLevelType w:val="multilevel"/>
    <w:tmpl w:val="E2124A9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B017604"/>
    <w:multiLevelType w:val="multilevel"/>
    <w:tmpl w:val="A0207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E1056F9"/>
    <w:multiLevelType w:val="hybridMultilevel"/>
    <w:tmpl w:val="D71039B4"/>
    <w:lvl w:ilvl="0" w:tplc="2180711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7D5A0B"/>
    <w:multiLevelType w:val="multilevel"/>
    <w:tmpl w:val="646E4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16F390E"/>
    <w:multiLevelType w:val="multilevel"/>
    <w:tmpl w:val="0A164D3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1E84DB5"/>
    <w:multiLevelType w:val="multilevel"/>
    <w:tmpl w:val="ABD48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DF52FAB"/>
    <w:multiLevelType w:val="hybridMultilevel"/>
    <w:tmpl w:val="7C8C949C"/>
    <w:lvl w:ilvl="0" w:tplc="263AC3F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0E589F"/>
    <w:multiLevelType w:val="multilevel"/>
    <w:tmpl w:val="4C3886B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1552039526">
    <w:abstractNumId w:val="6"/>
    <w:lvlOverride w:ilvl="0">
      <w:startOverride w:val="2"/>
    </w:lvlOverride>
  </w:num>
  <w:num w:numId="2" w16cid:durableId="1568802576">
    <w:abstractNumId w:val="3"/>
    <w:lvlOverride w:ilvl="0">
      <w:startOverride w:val="3"/>
    </w:lvlOverride>
  </w:num>
  <w:num w:numId="3" w16cid:durableId="421147876">
    <w:abstractNumId w:val="13"/>
  </w:num>
  <w:num w:numId="4" w16cid:durableId="1835874751">
    <w:abstractNumId w:val="15"/>
    <w:lvlOverride w:ilvl="0">
      <w:startOverride w:val="4"/>
    </w:lvlOverride>
  </w:num>
  <w:num w:numId="5" w16cid:durableId="148639800">
    <w:abstractNumId w:val="8"/>
  </w:num>
  <w:num w:numId="6" w16cid:durableId="1546983635">
    <w:abstractNumId w:val="22"/>
  </w:num>
  <w:num w:numId="7" w16cid:durableId="410195668">
    <w:abstractNumId w:val="2"/>
  </w:num>
  <w:num w:numId="8" w16cid:durableId="61635506">
    <w:abstractNumId w:val="12"/>
  </w:num>
  <w:num w:numId="9" w16cid:durableId="1158882731">
    <w:abstractNumId w:val="14"/>
    <w:lvlOverride w:ilvl="0">
      <w:startOverride w:val="5"/>
    </w:lvlOverride>
  </w:num>
  <w:num w:numId="10" w16cid:durableId="28573831">
    <w:abstractNumId w:val="17"/>
    <w:lvlOverride w:ilvl="0">
      <w:startOverride w:val="2"/>
    </w:lvlOverride>
  </w:num>
  <w:num w:numId="11" w16cid:durableId="1177303588">
    <w:abstractNumId w:val="24"/>
    <w:lvlOverride w:ilvl="0">
      <w:startOverride w:val="3"/>
    </w:lvlOverride>
  </w:num>
  <w:num w:numId="12" w16cid:durableId="1857882628">
    <w:abstractNumId w:val="9"/>
  </w:num>
  <w:num w:numId="13" w16cid:durableId="1300381375">
    <w:abstractNumId w:val="7"/>
    <w:lvlOverride w:ilvl="0">
      <w:startOverride w:val="4"/>
    </w:lvlOverride>
  </w:num>
  <w:num w:numId="14" w16cid:durableId="1065227964">
    <w:abstractNumId w:val="20"/>
  </w:num>
  <w:num w:numId="15" w16cid:durableId="1279532015">
    <w:abstractNumId w:val="5"/>
  </w:num>
  <w:num w:numId="16" w16cid:durableId="1648971904">
    <w:abstractNumId w:val="10"/>
  </w:num>
  <w:num w:numId="17" w16cid:durableId="233125449">
    <w:abstractNumId w:val="18"/>
  </w:num>
  <w:num w:numId="18" w16cid:durableId="1857815135">
    <w:abstractNumId w:val="21"/>
    <w:lvlOverride w:ilvl="0">
      <w:startOverride w:val="5"/>
    </w:lvlOverride>
  </w:num>
  <w:num w:numId="19" w16cid:durableId="2098549730">
    <w:abstractNumId w:val="4"/>
  </w:num>
  <w:num w:numId="20" w16cid:durableId="965039052">
    <w:abstractNumId w:val="19"/>
  </w:num>
  <w:num w:numId="21" w16cid:durableId="335421953">
    <w:abstractNumId w:val="0"/>
  </w:num>
  <w:num w:numId="22" w16cid:durableId="1324435520">
    <w:abstractNumId w:val="23"/>
  </w:num>
  <w:num w:numId="23" w16cid:durableId="1417707307">
    <w:abstractNumId w:val="1"/>
  </w:num>
  <w:num w:numId="24" w16cid:durableId="722825422">
    <w:abstractNumId w:val="11"/>
  </w:num>
  <w:num w:numId="25" w16cid:durableId="105797000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B50"/>
    <w:rsid w:val="00000A9E"/>
    <w:rsid w:val="000026E0"/>
    <w:rsid w:val="000032CF"/>
    <w:rsid w:val="000334B7"/>
    <w:rsid w:val="00040F2F"/>
    <w:rsid w:val="00042C3C"/>
    <w:rsid w:val="000524F4"/>
    <w:rsid w:val="00053797"/>
    <w:rsid w:val="0006145B"/>
    <w:rsid w:val="0006325A"/>
    <w:rsid w:val="00085B73"/>
    <w:rsid w:val="00091F91"/>
    <w:rsid w:val="000A0790"/>
    <w:rsid w:val="000C1DD5"/>
    <w:rsid w:val="000D6FDC"/>
    <w:rsid w:val="000E4D2C"/>
    <w:rsid w:val="000F48BF"/>
    <w:rsid w:val="00124B61"/>
    <w:rsid w:val="0013458C"/>
    <w:rsid w:val="00147CA2"/>
    <w:rsid w:val="001647AA"/>
    <w:rsid w:val="00165B84"/>
    <w:rsid w:val="00166C99"/>
    <w:rsid w:val="00172AFF"/>
    <w:rsid w:val="00175973"/>
    <w:rsid w:val="001A0BF9"/>
    <w:rsid w:val="001A4A71"/>
    <w:rsid w:val="001B15F1"/>
    <w:rsid w:val="001B1A0F"/>
    <w:rsid w:val="001B2739"/>
    <w:rsid w:val="001C2E59"/>
    <w:rsid w:val="001F7603"/>
    <w:rsid w:val="00203D30"/>
    <w:rsid w:val="00205290"/>
    <w:rsid w:val="00216814"/>
    <w:rsid w:val="00223264"/>
    <w:rsid w:val="0025174F"/>
    <w:rsid w:val="0027010F"/>
    <w:rsid w:val="00273DA7"/>
    <w:rsid w:val="002749AB"/>
    <w:rsid w:val="00274E02"/>
    <w:rsid w:val="002757B0"/>
    <w:rsid w:val="00282A25"/>
    <w:rsid w:val="002A2AE7"/>
    <w:rsid w:val="002A6246"/>
    <w:rsid w:val="002B471C"/>
    <w:rsid w:val="002C28B1"/>
    <w:rsid w:val="002D5FA1"/>
    <w:rsid w:val="003022C0"/>
    <w:rsid w:val="003166E1"/>
    <w:rsid w:val="003221C3"/>
    <w:rsid w:val="00322611"/>
    <w:rsid w:val="00331ACC"/>
    <w:rsid w:val="00345467"/>
    <w:rsid w:val="00363386"/>
    <w:rsid w:val="003634B8"/>
    <w:rsid w:val="00364F35"/>
    <w:rsid w:val="00372B0F"/>
    <w:rsid w:val="003876A4"/>
    <w:rsid w:val="003904AE"/>
    <w:rsid w:val="003A0776"/>
    <w:rsid w:val="003A6DCC"/>
    <w:rsid w:val="003C14B3"/>
    <w:rsid w:val="004038E9"/>
    <w:rsid w:val="00404AA6"/>
    <w:rsid w:val="00411C59"/>
    <w:rsid w:val="00414BF9"/>
    <w:rsid w:val="00416663"/>
    <w:rsid w:val="004335B0"/>
    <w:rsid w:val="004337F1"/>
    <w:rsid w:val="00433896"/>
    <w:rsid w:val="004366CD"/>
    <w:rsid w:val="004372F9"/>
    <w:rsid w:val="004445DE"/>
    <w:rsid w:val="00464B90"/>
    <w:rsid w:val="0046606E"/>
    <w:rsid w:val="00471D17"/>
    <w:rsid w:val="00475167"/>
    <w:rsid w:val="00477832"/>
    <w:rsid w:val="00491047"/>
    <w:rsid w:val="004A19D3"/>
    <w:rsid w:val="004A4078"/>
    <w:rsid w:val="004E0992"/>
    <w:rsid w:val="004E21D8"/>
    <w:rsid w:val="004F0EB6"/>
    <w:rsid w:val="00515176"/>
    <w:rsid w:val="00515CD1"/>
    <w:rsid w:val="0052294A"/>
    <w:rsid w:val="0052760F"/>
    <w:rsid w:val="00567161"/>
    <w:rsid w:val="00581F6B"/>
    <w:rsid w:val="0058751D"/>
    <w:rsid w:val="00592D52"/>
    <w:rsid w:val="005973F5"/>
    <w:rsid w:val="005A0CAA"/>
    <w:rsid w:val="005C6433"/>
    <w:rsid w:val="005E6BAA"/>
    <w:rsid w:val="005F4AA7"/>
    <w:rsid w:val="00611EE3"/>
    <w:rsid w:val="00614721"/>
    <w:rsid w:val="006174DD"/>
    <w:rsid w:val="00633167"/>
    <w:rsid w:val="00647743"/>
    <w:rsid w:val="00654A0B"/>
    <w:rsid w:val="00673EAA"/>
    <w:rsid w:val="00685675"/>
    <w:rsid w:val="006870D4"/>
    <w:rsid w:val="006B6147"/>
    <w:rsid w:val="006C521B"/>
    <w:rsid w:val="006D46CB"/>
    <w:rsid w:val="006D57B6"/>
    <w:rsid w:val="006E78CA"/>
    <w:rsid w:val="006F44BB"/>
    <w:rsid w:val="006F604D"/>
    <w:rsid w:val="00704A67"/>
    <w:rsid w:val="007144DA"/>
    <w:rsid w:val="00714B3A"/>
    <w:rsid w:val="0073367F"/>
    <w:rsid w:val="00740ECC"/>
    <w:rsid w:val="00742141"/>
    <w:rsid w:val="007517E5"/>
    <w:rsid w:val="0077097A"/>
    <w:rsid w:val="00775F92"/>
    <w:rsid w:val="00780A99"/>
    <w:rsid w:val="00784D42"/>
    <w:rsid w:val="007979F7"/>
    <w:rsid w:val="007A34FF"/>
    <w:rsid w:val="007A76DC"/>
    <w:rsid w:val="007E4F10"/>
    <w:rsid w:val="007F654E"/>
    <w:rsid w:val="007F6DBD"/>
    <w:rsid w:val="00801C1C"/>
    <w:rsid w:val="00834BFA"/>
    <w:rsid w:val="00835371"/>
    <w:rsid w:val="00841CD1"/>
    <w:rsid w:val="00856BC0"/>
    <w:rsid w:val="00867C2E"/>
    <w:rsid w:val="00871895"/>
    <w:rsid w:val="00890187"/>
    <w:rsid w:val="0089513E"/>
    <w:rsid w:val="008C060F"/>
    <w:rsid w:val="008C570C"/>
    <w:rsid w:val="008D602C"/>
    <w:rsid w:val="008F27A4"/>
    <w:rsid w:val="008F29C1"/>
    <w:rsid w:val="0090368F"/>
    <w:rsid w:val="009138E6"/>
    <w:rsid w:val="00924738"/>
    <w:rsid w:val="00925BA7"/>
    <w:rsid w:val="00951F06"/>
    <w:rsid w:val="0095620D"/>
    <w:rsid w:val="00956884"/>
    <w:rsid w:val="00957BD7"/>
    <w:rsid w:val="00973012"/>
    <w:rsid w:val="00981928"/>
    <w:rsid w:val="00983451"/>
    <w:rsid w:val="0098530A"/>
    <w:rsid w:val="00994648"/>
    <w:rsid w:val="009A21C5"/>
    <w:rsid w:val="009A3D45"/>
    <w:rsid w:val="009B29A9"/>
    <w:rsid w:val="009B3CF0"/>
    <w:rsid w:val="009B4D25"/>
    <w:rsid w:val="009E067F"/>
    <w:rsid w:val="009E12F2"/>
    <w:rsid w:val="009E509D"/>
    <w:rsid w:val="009F7BDB"/>
    <w:rsid w:val="00A052B1"/>
    <w:rsid w:val="00A312F3"/>
    <w:rsid w:val="00A63446"/>
    <w:rsid w:val="00A64B79"/>
    <w:rsid w:val="00A96189"/>
    <w:rsid w:val="00AA1677"/>
    <w:rsid w:val="00AD273C"/>
    <w:rsid w:val="00AE28DE"/>
    <w:rsid w:val="00AF1AF2"/>
    <w:rsid w:val="00B00CE5"/>
    <w:rsid w:val="00B019DF"/>
    <w:rsid w:val="00B05261"/>
    <w:rsid w:val="00B05A6D"/>
    <w:rsid w:val="00B07659"/>
    <w:rsid w:val="00B13EE3"/>
    <w:rsid w:val="00B15349"/>
    <w:rsid w:val="00B204F6"/>
    <w:rsid w:val="00B2418F"/>
    <w:rsid w:val="00B2700A"/>
    <w:rsid w:val="00B30D97"/>
    <w:rsid w:val="00B3737F"/>
    <w:rsid w:val="00B41D96"/>
    <w:rsid w:val="00B54592"/>
    <w:rsid w:val="00B840A3"/>
    <w:rsid w:val="00B8629C"/>
    <w:rsid w:val="00B8778E"/>
    <w:rsid w:val="00BA5B03"/>
    <w:rsid w:val="00BB15AD"/>
    <w:rsid w:val="00BB351F"/>
    <w:rsid w:val="00BD1F7B"/>
    <w:rsid w:val="00BD545E"/>
    <w:rsid w:val="00BD54B5"/>
    <w:rsid w:val="00BE4EA4"/>
    <w:rsid w:val="00BF7E99"/>
    <w:rsid w:val="00C01C7F"/>
    <w:rsid w:val="00C16DF1"/>
    <w:rsid w:val="00C2500B"/>
    <w:rsid w:val="00C2752D"/>
    <w:rsid w:val="00C541CB"/>
    <w:rsid w:val="00C56197"/>
    <w:rsid w:val="00C77401"/>
    <w:rsid w:val="00C8065F"/>
    <w:rsid w:val="00CB4700"/>
    <w:rsid w:val="00CB5CFB"/>
    <w:rsid w:val="00CB7C8F"/>
    <w:rsid w:val="00CC1552"/>
    <w:rsid w:val="00CD024F"/>
    <w:rsid w:val="00CD2369"/>
    <w:rsid w:val="00CE1CCA"/>
    <w:rsid w:val="00CE403B"/>
    <w:rsid w:val="00D008AB"/>
    <w:rsid w:val="00D17349"/>
    <w:rsid w:val="00D2329D"/>
    <w:rsid w:val="00D254C8"/>
    <w:rsid w:val="00D25672"/>
    <w:rsid w:val="00D36399"/>
    <w:rsid w:val="00D61BE2"/>
    <w:rsid w:val="00DA0D16"/>
    <w:rsid w:val="00DB2951"/>
    <w:rsid w:val="00DB7CAA"/>
    <w:rsid w:val="00DC4F51"/>
    <w:rsid w:val="00DC73E7"/>
    <w:rsid w:val="00DE03AA"/>
    <w:rsid w:val="00DE125D"/>
    <w:rsid w:val="00DF27C7"/>
    <w:rsid w:val="00DF39E9"/>
    <w:rsid w:val="00E10695"/>
    <w:rsid w:val="00E14239"/>
    <w:rsid w:val="00E31F5F"/>
    <w:rsid w:val="00E34E87"/>
    <w:rsid w:val="00E53008"/>
    <w:rsid w:val="00E60807"/>
    <w:rsid w:val="00E6563D"/>
    <w:rsid w:val="00E93B50"/>
    <w:rsid w:val="00EB0168"/>
    <w:rsid w:val="00EB04F0"/>
    <w:rsid w:val="00EE20BE"/>
    <w:rsid w:val="00EF5394"/>
    <w:rsid w:val="00F02239"/>
    <w:rsid w:val="00F03287"/>
    <w:rsid w:val="00F03F23"/>
    <w:rsid w:val="00F048C1"/>
    <w:rsid w:val="00F23A0F"/>
    <w:rsid w:val="00F665A7"/>
    <w:rsid w:val="00F81B1C"/>
    <w:rsid w:val="00F82543"/>
    <w:rsid w:val="00F8361E"/>
    <w:rsid w:val="00F84147"/>
    <w:rsid w:val="00F85CB6"/>
    <w:rsid w:val="00FA115B"/>
    <w:rsid w:val="00FA138E"/>
    <w:rsid w:val="00FA222A"/>
    <w:rsid w:val="00FA7027"/>
    <w:rsid w:val="00FB1131"/>
    <w:rsid w:val="00FC31FD"/>
    <w:rsid w:val="00FC69D8"/>
    <w:rsid w:val="00FD053B"/>
    <w:rsid w:val="00FD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55A62"/>
  <w15:chartTrackingRefBased/>
  <w15:docId w15:val="{D768C2E9-403C-4CC0-AD86-CE37609D5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0D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30D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0D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30D9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BE4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HTMLCite">
    <w:name w:val="HTML Cite"/>
    <w:basedOn w:val="DefaultParagraphFont"/>
    <w:uiPriority w:val="99"/>
    <w:semiHidden/>
    <w:unhideWhenUsed/>
    <w:rsid w:val="00BE4EA4"/>
    <w:rPr>
      <w:i/>
      <w:iCs/>
    </w:rPr>
  </w:style>
  <w:style w:type="paragraph" w:styleId="Subtitle">
    <w:name w:val="Subtitle"/>
    <w:basedOn w:val="Normal"/>
    <w:next w:val="Normal"/>
    <w:link w:val="SubtitleChar"/>
    <w:uiPriority w:val="11"/>
    <w:qFormat/>
    <w:rsid w:val="001A0BF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A0BF9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F032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032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032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32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3287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3634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F0EB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F0EB6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D236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D236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D23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3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1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70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53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9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doi.org/10.1093/acprof:oso/9780199245970.001.000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0A185-CC4A-479E-A47F-A6427FF25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1916</Words>
  <Characters>10542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LC</dc:creator>
  <cp:keywords/>
  <dc:description/>
  <cp:lastModifiedBy>Alice LC</cp:lastModifiedBy>
  <cp:revision>3</cp:revision>
  <dcterms:created xsi:type="dcterms:W3CDTF">2023-04-07T21:12:00Z</dcterms:created>
  <dcterms:modified xsi:type="dcterms:W3CDTF">2023-04-07T21:13:00Z</dcterms:modified>
</cp:coreProperties>
</file>